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62" w:rsidRDefault="00EA7462" w:rsidP="00EA7462">
      <w:pPr>
        <w:spacing w:after="0"/>
        <w:contextualSpacing/>
        <w:rPr>
          <w:b/>
        </w:rPr>
      </w:pPr>
      <w:r w:rsidRPr="00EA7462">
        <w:rPr>
          <w:b/>
        </w:rPr>
        <w:t xml:space="preserve">Функциональные и морфологические изменения у </w:t>
      </w:r>
      <w:r w:rsidR="0027584F" w:rsidRPr="00EA7462">
        <w:rPr>
          <w:b/>
        </w:rPr>
        <w:t>пациентов в</w:t>
      </w:r>
      <w:r w:rsidRPr="00EA7462">
        <w:rPr>
          <w:b/>
        </w:rPr>
        <w:t xml:space="preserve"> поясничном межпозвоночном диске после применения вытяжения (</w:t>
      </w:r>
      <w:proofErr w:type="spellStart"/>
      <w:r w:rsidRPr="00EA7462">
        <w:rPr>
          <w:b/>
        </w:rPr>
        <w:t>тракции</w:t>
      </w:r>
      <w:proofErr w:type="spellEnd"/>
      <w:r w:rsidRPr="00EA7462">
        <w:rPr>
          <w:b/>
        </w:rPr>
        <w:t xml:space="preserve">) с контролем </w:t>
      </w:r>
      <w:proofErr w:type="spellStart"/>
      <w:r w:rsidRPr="00EA7462">
        <w:rPr>
          <w:b/>
        </w:rPr>
        <w:t>лортодического</w:t>
      </w:r>
      <w:proofErr w:type="spellEnd"/>
      <w:r w:rsidRPr="00EA7462">
        <w:rPr>
          <w:b/>
        </w:rPr>
        <w:t xml:space="preserve"> изгиба: двойное слепое </w:t>
      </w:r>
      <w:proofErr w:type="spellStart"/>
      <w:r w:rsidRPr="00EA7462">
        <w:rPr>
          <w:b/>
        </w:rPr>
        <w:t>рандомизированное</w:t>
      </w:r>
      <w:proofErr w:type="spellEnd"/>
      <w:r w:rsidRPr="00EA7462">
        <w:rPr>
          <w:b/>
        </w:rPr>
        <w:t xml:space="preserve"> контролируемое исследование</w:t>
      </w:r>
    </w:p>
    <w:p w:rsidR="00601243" w:rsidRPr="00DF1C23" w:rsidRDefault="00601243" w:rsidP="00601243">
      <w:pPr>
        <w:spacing w:after="0"/>
        <w:contextualSpacing/>
        <w:jc w:val="both"/>
        <w:rPr>
          <w:lang w:val="en-US"/>
        </w:rPr>
      </w:pPr>
      <w:r w:rsidRPr="00DF1C23">
        <w:rPr>
          <w:lang w:val="en-US"/>
        </w:rPr>
        <w:t>Chang-</w:t>
      </w:r>
      <w:proofErr w:type="spellStart"/>
      <w:r w:rsidRPr="00DF1C23">
        <w:rPr>
          <w:lang w:val="en-US"/>
        </w:rPr>
        <w:t>Hyung</w:t>
      </w:r>
      <w:proofErr w:type="spellEnd"/>
      <w:r w:rsidRPr="00DF1C23">
        <w:rPr>
          <w:lang w:val="en-US"/>
        </w:rPr>
        <w:t xml:space="preserve"> Lee </w:t>
      </w:r>
      <w:r w:rsidRPr="00DF1C23">
        <w:rPr>
          <w:vertAlign w:val="superscript"/>
          <w:lang w:val="en-US"/>
        </w:rPr>
        <w:t>1</w:t>
      </w:r>
      <w:r w:rsidRPr="00DF1C23">
        <w:rPr>
          <w:lang w:val="en-US"/>
        </w:rPr>
        <w:t xml:space="preserve">, Sung </w:t>
      </w:r>
      <w:proofErr w:type="spellStart"/>
      <w:r w:rsidRPr="00DF1C23">
        <w:rPr>
          <w:lang w:val="en-US"/>
        </w:rPr>
        <w:t>Jin</w:t>
      </w:r>
      <w:proofErr w:type="spellEnd"/>
      <w:r w:rsidRPr="00DF1C23">
        <w:rPr>
          <w:lang w:val="en-US"/>
        </w:rPr>
        <w:t xml:space="preserve"> </w:t>
      </w:r>
      <w:proofErr w:type="spellStart"/>
      <w:r w:rsidRPr="00DF1C23">
        <w:rPr>
          <w:lang w:val="en-US"/>
        </w:rPr>
        <w:t>Heo</w:t>
      </w:r>
      <w:proofErr w:type="spellEnd"/>
      <w:r w:rsidRPr="00DF1C23">
        <w:rPr>
          <w:lang w:val="en-US"/>
        </w:rPr>
        <w:t xml:space="preserve"> </w:t>
      </w:r>
      <w:r w:rsidRPr="00E30593">
        <w:rPr>
          <w:vertAlign w:val="superscript"/>
          <w:lang w:val="en-US"/>
        </w:rPr>
        <w:t>2</w:t>
      </w:r>
      <w:r w:rsidRPr="00DF1C23">
        <w:rPr>
          <w:lang w:val="en-US"/>
        </w:rPr>
        <w:t xml:space="preserve">, So Hyun Park </w:t>
      </w:r>
      <w:r w:rsidRPr="00E30593">
        <w:rPr>
          <w:vertAlign w:val="superscript"/>
          <w:lang w:val="en-US"/>
        </w:rPr>
        <w:t>3</w:t>
      </w:r>
      <w:r w:rsidRPr="00DF1C23">
        <w:rPr>
          <w:lang w:val="en-US"/>
        </w:rPr>
        <w:t xml:space="preserve">, </w:t>
      </w:r>
      <w:proofErr w:type="spellStart"/>
      <w:r w:rsidRPr="00DF1C23">
        <w:rPr>
          <w:lang w:val="en-US"/>
        </w:rPr>
        <w:t>Hee</w:t>
      </w:r>
      <w:proofErr w:type="spellEnd"/>
      <w:r w:rsidRPr="00DF1C23">
        <w:rPr>
          <w:lang w:val="en-US"/>
        </w:rPr>
        <w:t xml:space="preserve"> </w:t>
      </w:r>
      <w:proofErr w:type="spellStart"/>
      <w:r w:rsidRPr="00DF1C23">
        <w:rPr>
          <w:lang w:val="en-US"/>
        </w:rPr>
        <w:t>Seok</w:t>
      </w:r>
      <w:proofErr w:type="spellEnd"/>
      <w:r w:rsidRPr="00DF1C23">
        <w:rPr>
          <w:lang w:val="en-US"/>
        </w:rPr>
        <w:t xml:space="preserve"> </w:t>
      </w:r>
      <w:proofErr w:type="spellStart"/>
      <w:r w:rsidRPr="00DF1C23">
        <w:rPr>
          <w:lang w:val="en-US"/>
        </w:rPr>
        <w:t>Jeong</w:t>
      </w:r>
      <w:proofErr w:type="spellEnd"/>
      <w:r w:rsidRPr="00DF1C23">
        <w:rPr>
          <w:lang w:val="en-US"/>
        </w:rPr>
        <w:t xml:space="preserve"> </w:t>
      </w:r>
      <w:r w:rsidRPr="00E30593">
        <w:rPr>
          <w:vertAlign w:val="superscript"/>
          <w:lang w:val="en-US"/>
        </w:rPr>
        <w:t>4</w:t>
      </w:r>
      <w:r w:rsidRPr="00DF1C23">
        <w:rPr>
          <w:lang w:val="en-US"/>
        </w:rPr>
        <w:t xml:space="preserve"> and Soo-</w:t>
      </w:r>
      <w:proofErr w:type="spellStart"/>
      <w:r w:rsidRPr="00DF1C23">
        <w:rPr>
          <w:lang w:val="en-US"/>
        </w:rPr>
        <w:t>Yeon</w:t>
      </w:r>
      <w:proofErr w:type="spellEnd"/>
      <w:r w:rsidRPr="00DF1C23">
        <w:rPr>
          <w:lang w:val="en-US"/>
        </w:rPr>
        <w:t xml:space="preserve"> Kim </w:t>
      </w:r>
      <w:r w:rsidRPr="00E30593">
        <w:rPr>
          <w:vertAlign w:val="superscript"/>
          <w:lang w:val="en-US"/>
        </w:rPr>
        <w:t>1</w:t>
      </w:r>
      <w:r w:rsidRPr="00DF1C23">
        <w:rPr>
          <w:lang w:val="en-US"/>
        </w:rPr>
        <w:t>,*</w:t>
      </w:r>
    </w:p>
    <w:p w:rsidR="00601243" w:rsidRPr="00DF1C23" w:rsidRDefault="00601243" w:rsidP="00601243">
      <w:pPr>
        <w:spacing w:after="0"/>
        <w:contextualSpacing/>
        <w:jc w:val="both"/>
      </w:pPr>
      <w:r w:rsidRPr="00E30593">
        <w:rPr>
          <w:vertAlign w:val="superscript"/>
        </w:rPr>
        <w:t>1</w:t>
      </w:r>
      <w:r w:rsidRPr="00DF1C23">
        <w:t xml:space="preserve"> Реабилитационная медицина, Школа медицины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 и научно-исследовательский институт конвергенции биомедицинских наук и технологий, Больница </w:t>
      </w:r>
      <w:proofErr w:type="spellStart"/>
      <w:r w:rsidRPr="00DF1C23">
        <w:t>Янсан</w:t>
      </w:r>
      <w:proofErr w:type="spellEnd"/>
      <w:r w:rsidRPr="00DF1C23">
        <w:t xml:space="preserve">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университета, </w:t>
      </w:r>
      <w:proofErr w:type="spellStart"/>
      <w:r w:rsidRPr="00DF1C23">
        <w:t>Янсан</w:t>
      </w:r>
      <w:proofErr w:type="spellEnd"/>
      <w:r w:rsidRPr="00DF1C23">
        <w:t xml:space="preserve"> 50612, Корея; aarondoctor@gmail.com</w:t>
      </w:r>
    </w:p>
    <w:p w:rsidR="00601243" w:rsidRPr="00DF1C23" w:rsidRDefault="00601243" w:rsidP="00601243">
      <w:pPr>
        <w:spacing w:after="0"/>
        <w:contextualSpacing/>
        <w:jc w:val="both"/>
      </w:pPr>
      <w:r w:rsidRPr="00E30593">
        <w:rPr>
          <w:vertAlign w:val="superscript"/>
        </w:rPr>
        <w:t>2</w:t>
      </w:r>
      <w:r w:rsidRPr="00DF1C23">
        <w:t xml:space="preserve"> Научно-исследовательский институт конвергенции биомедицинских наук и технологий, Больница </w:t>
      </w:r>
      <w:proofErr w:type="spellStart"/>
      <w:r w:rsidRPr="00DF1C23">
        <w:t>Янсан</w:t>
      </w:r>
      <w:proofErr w:type="spellEnd"/>
      <w:r w:rsidRPr="00DF1C23">
        <w:t xml:space="preserve">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университета, </w:t>
      </w:r>
      <w:proofErr w:type="spellStart"/>
      <w:r w:rsidRPr="00DF1C23">
        <w:t>Янсан</w:t>
      </w:r>
      <w:proofErr w:type="spellEnd"/>
      <w:r w:rsidRPr="00DF1C23">
        <w:t xml:space="preserve"> 50612, Корея; whitegusdl@hanmail.net</w:t>
      </w:r>
    </w:p>
    <w:p w:rsidR="00601243" w:rsidRPr="00DF1C23" w:rsidRDefault="00601243" w:rsidP="00601243">
      <w:pPr>
        <w:spacing w:after="0"/>
        <w:contextualSpacing/>
        <w:jc w:val="both"/>
      </w:pPr>
      <w:r w:rsidRPr="00E30593">
        <w:rPr>
          <w:vertAlign w:val="superscript"/>
        </w:rPr>
        <w:t>3</w:t>
      </w:r>
      <w:r w:rsidRPr="00DF1C23">
        <w:t xml:space="preserve"> Кафедра физиотерапии, Университета </w:t>
      </w:r>
      <w:proofErr w:type="spellStart"/>
      <w:r w:rsidRPr="00DF1C23">
        <w:t>Янгсан</w:t>
      </w:r>
      <w:proofErr w:type="spellEnd"/>
      <w:r w:rsidRPr="00DF1C23">
        <w:t xml:space="preserve">, </w:t>
      </w:r>
      <w:proofErr w:type="spellStart"/>
      <w:r w:rsidRPr="00DF1C23">
        <w:t>Янсан</w:t>
      </w:r>
      <w:proofErr w:type="spellEnd"/>
      <w:r w:rsidRPr="00DF1C23">
        <w:t xml:space="preserve"> 50510, Корея; ptpsh@ysu.ac.kr</w:t>
      </w:r>
    </w:p>
    <w:p w:rsidR="00601243" w:rsidRPr="00DF1C23" w:rsidRDefault="00601243" w:rsidP="00601243">
      <w:pPr>
        <w:spacing w:after="0"/>
        <w:contextualSpacing/>
        <w:jc w:val="both"/>
      </w:pPr>
      <w:r w:rsidRPr="00E30593">
        <w:rPr>
          <w:vertAlign w:val="superscript"/>
        </w:rPr>
        <w:t>4</w:t>
      </w:r>
      <w:r w:rsidRPr="00DF1C23">
        <w:t xml:space="preserve"> Радиологическая медицина, Школа медицины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 и научно-исследовательский институт конвергенции биомедицинских наук и технологий, Больница </w:t>
      </w:r>
      <w:proofErr w:type="spellStart"/>
      <w:r w:rsidRPr="00DF1C23">
        <w:t>Янсан</w:t>
      </w:r>
      <w:proofErr w:type="spellEnd"/>
      <w:r w:rsidRPr="00DF1C23">
        <w:t xml:space="preserve">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университета, </w:t>
      </w:r>
      <w:proofErr w:type="spellStart"/>
      <w:r w:rsidRPr="00DF1C23">
        <w:t>Янсан</w:t>
      </w:r>
      <w:proofErr w:type="spellEnd"/>
      <w:r w:rsidRPr="00DF1C23">
        <w:t xml:space="preserve"> 50612, Корея; mediknight@hanmail.net</w:t>
      </w:r>
    </w:p>
    <w:p w:rsidR="00601243" w:rsidRPr="00DF1C23" w:rsidRDefault="00601243" w:rsidP="00601243">
      <w:pPr>
        <w:spacing w:after="0"/>
        <w:contextualSpacing/>
        <w:jc w:val="both"/>
      </w:pPr>
      <w:r w:rsidRPr="00DF1C23">
        <w:t>* Для писем: drkimsy@gmail.com</w:t>
      </w:r>
    </w:p>
    <w:p w:rsidR="00601243" w:rsidRDefault="00601243" w:rsidP="00601243">
      <w:pPr>
        <w:spacing w:after="0"/>
        <w:contextualSpacing/>
        <w:jc w:val="both"/>
      </w:pPr>
      <w:r>
        <w:t>Поступило: 15</w:t>
      </w:r>
      <w:r w:rsidRPr="00DF1C23">
        <w:t xml:space="preserve"> </w:t>
      </w:r>
      <w:r>
        <w:t>ноября</w:t>
      </w:r>
      <w:r w:rsidRPr="00DF1C23">
        <w:t xml:space="preserve"> 2019 г.; Принято в печать: 16 </w:t>
      </w:r>
      <w:proofErr w:type="spellStart"/>
      <w:r>
        <w:t>девабря</w:t>
      </w:r>
      <w:proofErr w:type="spellEnd"/>
      <w:r w:rsidRPr="00DF1C23">
        <w:t xml:space="preserve"> 2019 г.; Опубликовано: 19 июня 2019 г</w:t>
      </w:r>
      <w:r>
        <w:t>.</w:t>
      </w:r>
    </w:p>
    <w:p w:rsidR="00011889" w:rsidRDefault="00011889" w:rsidP="00601243">
      <w:pPr>
        <w:spacing w:after="0"/>
        <w:contextualSpacing/>
        <w:jc w:val="both"/>
      </w:pPr>
    </w:p>
    <w:p w:rsidR="00011889" w:rsidRDefault="00011889" w:rsidP="002C51E7">
      <w:pPr>
        <w:spacing w:after="0"/>
        <w:contextualSpacing/>
        <w:jc w:val="both"/>
      </w:pPr>
      <w:r w:rsidRPr="00704DB6">
        <w:rPr>
          <w:b/>
        </w:rPr>
        <w:t>Резюме:</w:t>
      </w:r>
      <w:r w:rsidRPr="00011889">
        <w:t xml:space="preserve"> </w:t>
      </w:r>
      <w:r w:rsidRPr="00704DB6">
        <w:rPr>
          <w:i/>
        </w:rPr>
        <w:t>Предпосылки и цели:</w:t>
      </w:r>
      <w:r w:rsidRPr="00011889">
        <w:t xml:space="preserve"> Поясничная </w:t>
      </w:r>
      <w:proofErr w:type="spellStart"/>
      <w:r w:rsidRPr="00011889">
        <w:t>тракция</w:t>
      </w:r>
      <w:proofErr w:type="spellEnd"/>
      <w:r w:rsidRPr="00011889">
        <w:t xml:space="preserve"> широко используется в качестве неоперативного лечения заболевания поясничного межпозвонкового диска. Эффект традиционной </w:t>
      </w:r>
      <w:proofErr w:type="spellStart"/>
      <w:r w:rsidRPr="00011889">
        <w:t>тракции</w:t>
      </w:r>
      <w:proofErr w:type="spellEnd"/>
      <w:r w:rsidRPr="00011889">
        <w:t xml:space="preserve"> (ТТ</w:t>
      </w:r>
      <w:r w:rsidR="00704DB6" w:rsidRPr="00011889">
        <w:t>), использующей</w:t>
      </w:r>
      <w:r w:rsidRPr="00011889">
        <w:t xml:space="preserve"> тягу устройства линейного типа, остаётся спорным по разным причинам, включая технические ограничения. Таким образом, целью данного исследования </w:t>
      </w:r>
      <w:r w:rsidR="00704DB6">
        <w:t>стало</w:t>
      </w:r>
      <w:r w:rsidR="00704DB6" w:rsidRPr="00011889">
        <w:t xml:space="preserve"> сравнение</w:t>
      </w:r>
      <w:r w:rsidRPr="00011889">
        <w:t xml:space="preserve"> эффектов недавно разработанного метода вытяжения (</w:t>
      </w:r>
      <w:proofErr w:type="spellStart"/>
      <w:r w:rsidRPr="00011889">
        <w:t>тракции</w:t>
      </w:r>
      <w:proofErr w:type="spellEnd"/>
      <w:r w:rsidRPr="00011889">
        <w:t xml:space="preserve">) с контролем </w:t>
      </w:r>
      <w:proofErr w:type="spellStart"/>
      <w:r w:rsidRPr="00011889">
        <w:t>лортодического</w:t>
      </w:r>
      <w:proofErr w:type="spellEnd"/>
      <w:r w:rsidRPr="00011889">
        <w:t xml:space="preserve"> изгиба</w:t>
      </w:r>
      <w:r w:rsidR="006E484E">
        <w:t xml:space="preserve"> поясничного отдела</w:t>
      </w:r>
      <w:r w:rsidRPr="00011889">
        <w:t xml:space="preserve"> (L-LCCT) и TT. В исследовании сравни</w:t>
      </w:r>
      <w:r w:rsidR="0027584F">
        <w:t>вались функциональные изменения</w:t>
      </w:r>
      <w:r w:rsidRPr="00011889">
        <w:t xml:space="preserve"> и морфологические изменения межпозвоночных дисков.</w:t>
      </w:r>
      <w:r w:rsidR="002C51E7">
        <w:t xml:space="preserve"> </w:t>
      </w:r>
      <w:r w:rsidR="002C51E7" w:rsidRPr="002C51E7">
        <w:rPr>
          <w:i/>
        </w:rPr>
        <w:t>Материалы и методы:</w:t>
      </w:r>
      <w:r w:rsidR="002C51E7" w:rsidRPr="002C51E7">
        <w:t xml:space="preserve"> В исследовании приняли участие 40 пациентов с заболеванием поясничного межпозвонкового </w:t>
      </w:r>
      <w:r w:rsidR="002665F9" w:rsidRPr="002C51E7">
        <w:t>диска L</w:t>
      </w:r>
      <w:r w:rsidR="002C51E7" w:rsidRPr="002C51E7">
        <w:t xml:space="preserve">4-L5 или L5-S1, подтверждённым магнитно-резонансной томографией. Пациенты были разделены на две группы: группа C-LCCT и группа TT. Изменения состояния здоровья пациентов регистрировались с использованием оценки боли, функциональных оценок (визуально-аналоговая шкала, индекс инвалидности Освестри, Анкета инвалидности Роланда – Морриса) и морфологических изменений (площадь центрального канала поясничного отдела) до и после </w:t>
      </w:r>
      <w:proofErr w:type="spellStart"/>
      <w:r w:rsidR="002C51E7" w:rsidRPr="002C51E7">
        <w:t>тракционной</w:t>
      </w:r>
      <w:proofErr w:type="spellEnd"/>
      <w:r w:rsidR="002C51E7" w:rsidRPr="002C51E7">
        <w:t xml:space="preserve"> терапии.</w:t>
      </w:r>
      <w:r w:rsidR="00967FBA">
        <w:t xml:space="preserve"> </w:t>
      </w:r>
      <w:r w:rsidR="00967FBA" w:rsidRPr="00967FBA">
        <w:rPr>
          <w:i/>
        </w:rPr>
        <w:t>Результаты</w:t>
      </w:r>
      <w:r w:rsidR="00967FBA" w:rsidRPr="00967FBA">
        <w:t xml:space="preserve">: оценка боли значительно снизилась после </w:t>
      </w:r>
      <w:proofErr w:type="spellStart"/>
      <w:r w:rsidR="00967FBA" w:rsidRPr="00967FBA">
        <w:t>тракции</w:t>
      </w:r>
      <w:proofErr w:type="spellEnd"/>
      <w:r w:rsidR="00967FBA" w:rsidRPr="00967FBA">
        <w:t xml:space="preserve"> в обеих группах (р &lt;0,05). Однако функциональные оценки и морфологические изменения значительно улучшились после лечения только в группе L-LCCT (p &lt;0,05). Выводы: Мы предполагаем, что L-LCCT является </w:t>
      </w:r>
      <w:r w:rsidR="0027584F">
        <w:t>действенным</w:t>
      </w:r>
      <w:r w:rsidR="00967FBA" w:rsidRPr="00967FBA">
        <w:t xml:space="preserve"> </w:t>
      </w:r>
      <w:r w:rsidR="002665F9" w:rsidRPr="00967FBA">
        <w:t>методом устранения</w:t>
      </w:r>
      <w:r w:rsidR="00967FBA" w:rsidRPr="00967FBA">
        <w:t xml:space="preserve"> технических ограничений TT п</w:t>
      </w:r>
      <w:r w:rsidR="004568FA">
        <w:t xml:space="preserve">утем поддержания </w:t>
      </w:r>
      <w:proofErr w:type="spellStart"/>
      <w:r w:rsidR="004568FA">
        <w:t>лордотического</w:t>
      </w:r>
      <w:proofErr w:type="spellEnd"/>
      <w:r w:rsidR="004568FA">
        <w:t xml:space="preserve"> изгиба</w:t>
      </w:r>
      <w:r w:rsidR="00967FBA" w:rsidRPr="00967FBA">
        <w:t xml:space="preserve"> поясничного отдела у пациентов с заболеванием поясничного межпозвонкового диска.</w:t>
      </w:r>
    </w:p>
    <w:p w:rsidR="002665F9" w:rsidRPr="002C51E7" w:rsidRDefault="002665F9" w:rsidP="002C51E7">
      <w:pPr>
        <w:spacing w:after="0"/>
        <w:contextualSpacing/>
        <w:jc w:val="both"/>
      </w:pPr>
      <w:r w:rsidRPr="002665F9">
        <w:rPr>
          <w:b/>
        </w:rPr>
        <w:t>Ключевые слова</w:t>
      </w:r>
      <w:r w:rsidR="0027584F">
        <w:t>: вытяжение</w:t>
      </w:r>
      <w:r w:rsidRPr="002665F9">
        <w:t xml:space="preserve"> (</w:t>
      </w:r>
      <w:proofErr w:type="spellStart"/>
      <w:r w:rsidRPr="002665F9">
        <w:t>тракция</w:t>
      </w:r>
      <w:proofErr w:type="spellEnd"/>
      <w:r w:rsidRPr="002665F9">
        <w:t>); поясничный лордоз; межпозвоночный диск; боль; функционирование; морфология</w:t>
      </w:r>
    </w:p>
    <w:p w:rsidR="00601243" w:rsidRDefault="00601243" w:rsidP="00EA7462">
      <w:pPr>
        <w:spacing w:after="0"/>
        <w:contextualSpacing/>
        <w:rPr>
          <w:b/>
        </w:rPr>
      </w:pPr>
    </w:p>
    <w:p w:rsidR="001834BF" w:rsidRPr="00550053" w:rsidRDefault="001834BF" w:rsidP="001834BF">
      <w:pPr>
        <w:spacing w:after="0"/>
        <w:contextualSpacing/>
        <w:jc w:val="both"/>
        <w:rPr>
          <w:b/>
        </w:rPr>
      </w:pPr>
      <w:r w:rsidRPr="00550053">
        <w:rPr>
          <w:b/>
        </w:rPr>
        <w:t>1. Введение</w:t>
      </w:r>
    </w:p>
    <w:p w:rsidR="001834BF" w:rsidRDefault="001834BF" w:rsidP="001834BF">
      <w:pPr>
        <w:spacing w:after="0"/>
        <w:contextualSpacing/>
        <w:jc w:val="both"/>
      </w:pPr>
      <w:r w:rsidRPr="001834BF">
        <w:t xml:space="preserve">Поясничная </w:t>
      </w:r>
      <w:proofErr w:type="spellStart"/>
      <w:r w:rsidRPr="001834BF">
        <w:t>тракция</w:t>
      </w:r>
      <w:proofErr w:type="spellEnd"/>
      <w:r w:rsidRPr="001834BF">
        <w:t xml:space="preserve"> широко используется у пациентов с заболеванием межпозвонковых дисков как способ уменьшения давление на позвоночное отверстие за счет снятия напряжения между соседними позвонками [</w:t>
      </w:r>
      <w:r w:rsidRPr="00306267">
        <w:rPr>
          <w:color w:val="2E74B5" w:themeColor="accent5" w:themeShade="BF"/>
        </w:rPr>
        <w:t>1–3</w:t>
      </w:r>
      <w:r w:rsidRPr="001834BF">
        <w:t>]. Таким образом, метод способствует выравниванию позвоночника и позволяет уменьшить излишние мышечные спазмы вокруг пораженного места [</w:t>
      </w:r>
      <w:r w:rsidRPr="00306267">
        <w:rPr>
          <w:color w:val="2E74B5" w:themeColor="accent5" w:themeShade="BF"/>
        </w:rPr>
        <w:t>4</w:t>
      </w:r>
      <w:r w:rsidRPr="001834BF">
        <w:t xml:space="preserve">]. Кроме того, снижение межпозвонкового давления и восстановление первоначального </w:t>
      </w:r>
      <w:proofErr w:type="spellStart"/>
      <w:r w:rsidRPr="001834BF">
        <w:t>лордотического</w:t>
      </w:r>
      <w:proofErr w:type="spellEnd"/>
      <w:r w:rsidRPr="001834BF">
        <w:t xml:space="preserve"> изгиба поясничного отдела даёт возможность выступающему студенистому ядру диска втянуться внутрь [</w:t>
      </w:r>
      <w:r w:rsidRPr="00306267">
        <w:rPr>
          <w:color w:val="2E74B5" w:themeColor="accent5" w:themeShade="BF"/>
        </w:rPr>
        <w:t>5</w:t>
      </w:r>
      <w:r w:rsidRPr="001834BF">
        <w:t xml:space="preserve">]. Однако предыдущими исследованиями четко не установлены лечебные эффекты </w:t>
      </w:r>
      <w:proofErr w:type="spellStart"/>
      <w:r w:rsidRPr="001834BF">
        <w:t>тракционной</w:t>
      </w:r>
      <w:proofErr w:type="spellEnd"/>
      <w:r w:rsidRPr="001834BF">
        <w:t xml:space="preserve"> терапии.</w:t>
      </w:r>
      <w:r w:rsidR="0008664B">
        <w:t xml:space="preserve"> </w:t>
      </w:r>
      <w:r w:rsidR="0008664B" w:rsidRPr="0008664B">
        <w:t xml:space="preserve">Некоторые исследования с использованием болевых и функциональных тестов, такие как визуальная аналоговая шкала (VAS), индекс инвалидности Освестри (ODI), анкета инвалидности Роланда – Морриса (RM) и краткий опросник здоровья из 36 пунктов (SF-36) показали значительное улучшение у пациентов, получавших лечение </w:t>
      </w:r>
      <w:proofErr w:type="spellStart"/>
      <w:r w:rsidR="0008664B" w:rsidRPr="0008664B">
        <w:t>тракцией</w:t>
      </w:r>
      <w:proofErr w:type="spellEnd"/>
      <w:r w:rsidR="0008664B" w:rsidRPr="0008664B">
        <w:t>, по сравнению с пациентами, получавшими лечение традиционной физиотерапией [</w:t>
      </w:r>
      <w:r w:rsidR="0008664B" w:rsidRPr="00306267">
        <w:rPr>
          <w:color w:val="2E74B5" w:themeColor="accent5" w:themeShade="BF"/>
        </w:rPr>
        <w:t>6–10</w:t>
      </w:r>
      <w:r w:rsidR="0008664B" w:rsidRPr="0008664B">
        <w:t xml:space="preserve">]. Однако в других исследованиях пациентов с заболеванием межпозвоночного диска, </w:t>
      </w:r>
      <w:proofErr w:type="spellStart"/>
      <w:r w:rsidR="0008664B" w:rsidRPr="0008664B">
        <w:t>тракция</w:t>
      </w:r>
      <w:proofErr w:type="spellEnd"/>
      <w:r w:rsidR="0008664B" w:rsidRPr="0008664B">
        <w:t xml:space="preserve"> не показала значительных преимуществ по сравнению с другими методами лечения, такими как физиотерапия и медикаментозное лечение </w:t>
      </w:r>
      <w:r w:rsidR="0008664B" w:rsidRPr="0008664B">
        <w:lastRenderedPageBreak/>
        <w:t>[</w:t>
      </w:r>
      <w:r w:rsidR="0008664B" w:rsidRPr="00306267">
        <w:rPr>
          <w:color w:val="2E74B5" w:themeColor="accent5" w:themeShade="BF"/>
        </w:rPr>
        <w:t>11–14</w:t>
      </w:r>
      <w:r w:rsidR="0008664B" w:rsidRPr="0008664B">
        <w:t xml:space="preserve">]. Несмотря на теоретические преимущества </w:t>
      </w:r>
      <w:proofErr w:type="spellStart"/>
      <w:r w:rsidR="0008664B" w:rsidRPr="0008664B">
        <w:t>тракционного</w:t>
      </w:r>
      <w:proofErr w:type="spellEnd"/>
      <w:r w:rsidR="0008664B" w:rsidRPr="0008664B">
        <w:t xml:space="preserve"> лечения для снятия компрессии </w:t>
      </w:r>
      <w:r w:rsidR="00F10051" w:rsidRPr="0008664B">
        <w:t>на диск</w:t>
      </w:r>
      <w:r w:rsidR="0008664B" w:rsidRPr="0008664B">
        <w:t xml:space="preserve"> у пациентов с заболеванием межпозвонкового диска, клинические результаты не были явными.</w:t>
      </w:r>
    </w:p>
    <w:p w:rsidR="00F10051" w:rsidRDefault="00F10051" w:rsidP="001834BF">
      <w:pPr>
        <w:spacing w:after="0"/>
        <w:contextualSpacing/>
        <w:jc w:val="both"/>
      </w:pPr>
      <w:r w:rsidRPr="00F10051">
        <w:t xml:space="preserve">Поскольку индивидуальные физические условия различаются, необходимо специализировать стандартные терапевтические рекомендации, а это требует времени и усилий. Поскольку нет стандартных протоколов или предыдущих хорошо продуманных исследований </w:t>
      </w:r>
      <w:proofErr w:type="spellStart"/>
      <w:r w:rsidRPr="00F10051">
        <w:t>тракционной</w:t>
      </w:r>
      <w:proofErr w:type="spellEnd"/>
      <w:r w:rsidRPr="00F10051">
        <w:t xml:space="preserve"> терапии, может быть трудно оценить эффективность </w:t>
      </w:r>
      <w:proofErr w:type="spellStart"/>
      <w:r w:rsidRPr="00F10051">
        <w:t>тракционной</w:t>
      </w:r>
      <w:proofErr w:type="spellEnd"/>
      <w:r w:rsidRPr="00F10051">
        <w:t xml:space="preserve"> терапии. По предположению </w:t>
      </w:r>
      <w:proofErr w:type="spellStart"/>
      <w:r w:rsidRPr="00F10051">
        <w:t>Clarke</w:t>
      </w:r>
      <w:proofErr w:type="spellEnd"/>
      <w:r w:rsidRPr="00F10051">
        <w:t xml:space="preserve"> </w:t>
      </w:r>
      <w:proofErr w:type="spellStart"/>
      <w:r w:rsidRPr="00F10051">
        <w:t>et</w:t>
      </w:r>
      <w:proofErr w:type="spellEnd"/>
      <w:r w:rsidRPr="00F10051">
        <w:t xml:space="preserve"> </w:t>
      </w:r>
      <w:proofErr w:type="spellStart"/>
      <w:r w:rsidRPr="00F10051">
        <w:t>al</w:t>
      </w:r>
      <w:proofErr w:type="spellEnd"/>
      <w:r w:rsidRPr="00F10051">
        <w:t>. [</w:t>
      </w:r>
      <w:r w:rsidRPr="00306267">
        <w:rPr>
          <w:color w:val="2E74B5" w:themeColor="accent5" w:themeShade="BF"/>
        </w:rPr>
        <w:t>13</w:t>
      </w:r>
      <w:r w:rsidRPr="00F10051">
        <w:t xml:space="preserve">], сложно эмпирически определить влияние </w:t>
      </w:r>
      <w:proofErr w:type="spellStart"/>
      <w:r w:rsidRPr="00F10051">
        <w:t>тракции</w:t>
      </w:r>
      <w:proofErr w:type="spellEnd"/>
      <w:r w:rsidRPr="00F10051">
        <w:t xml:space="preserve"> на пациентов с заболеванием межпозвонковых дисков из-за трудностей в настройке исходных условий, трудностей в проведении слепых тестов с механической растягивающей нагрузкой и из-за различий в уровне образования па</w:t>
      </w:r>
      <w:r w:rsidR="0027584F">
        <w:t xml:space="preserve">циентов и понимания </w:t>
      </w:r>
      <w:r w:rsidRPr="00F10051">
        <w:t>механизмов болезни. Наконец, могут быть другие условия, вызывающие то же симптомы, или разные симптомы могут возникать по одной и той же причине.</w:t>
      </w:r>
    </w:p>
    <w:p w:rsidR="00E17978" w:rsidRDefault="00E17978" w:rsidP="001834BF">
      <w:pPr>
        <w:spacing w:after="0"/>
        <w:contextualSpacing/>
        <w:jc w:val="both"/>
      </w:pPr>
      <w:r w:rsidRPr="00E17978">
        <w:t xml:space="preserve">Помимо причин, указанных выше, могут быть технические ограничения на применение </w:t>
      </w:r>
      <w:proofErr w:type="spellStart"/>
      <w:r w:rsidRPr="00E17978">
        <w:t>тракции</w:t>
      </w:r>
      <w:proofErr w:type="spellEnd"/>
      <w:r w:rsidRPr="00E17978">
        <w:t xml:space="preserve"> у пациентов с заболеванием межпозвонковых дисков. Одна из возможных причин технического ограничения применения </w:t>
      </w:r>
      <w:proofErr w:type="spellStart"/>
      <w:r w:rsidRPr="00E17978">
        <w:t>тракци</w:t>
      </w:r>
      <w:r w:rsidR="0027584F">
        <w:t>и</w:t>
      </w:r>
      <w:proofErr w:type="spellEnd"/>
      <w:r w:rsidRPr="00E17978">
        <w:t xml:space="preserve"> - эт</w:t>
      </w:r>
      <w:r w:rsidR="004568FA">
        <w:t xml:space="preserve">о изменение </w:t>
      </w:r>
      <w:proofErr w:type="spellStart"/>
      <w:r w:rsidR="004568FA">
        <w:t>лордотического</w:t>
      </w:r>
      <w:proofErr w:type="spellEnd"/>
      <w:r w:rsidR="004568FA">
        <w:t xml:space="preserve"> изгиба</w:t>
      </w:r>
      <w:r w:rsidRPr="00E17978">
        <w:t>. Во-первых,</w:t>
      </w:r>
      <w:r w:rsidR="004568FA">
        <w:t xml:space="preserve"> </w:t>
      </w:r>
      <w:proofErr w:type="spellStart"/>
      <w:r w:rsidR="004568FA">
        <w:t>лордотический</w:t>
      </w:r>
      <w:proofErr w:type="spellEnd"/>
      <w:r w:rsidR="004568FA">
        <w:t xml:space="preserve"> изгиб может быть уменьшен</w:t>
      </w:r>
      <w:r w:rsidRPr="00E17978">
        <w:t xml:space="preserve"> во время традиционной </w:t>
      </w:r>
      <w:proofErr w:type="spellStart"/>
      <w:r w:rsidRPr="00E17978">
        <w:t>тракции</w:t>
      </w:r>
      <w:proofErr w:type="spellEnd"/>
      <w:r w:rsidRPr="00E17978">
        <w:t xml:space="preserve"> (ТТ) поясничного отдела. При приложении силы вытяжения к позвоночнику по методу ТТ основным эффектом является выпрямление структур позвоночника, а не декомпрессия межпозвонковых дисков.</w:t>
      </w:r>
      <w:r w:rsidR="004568FA">
        <w:t xml:space="preserve"> Это также уменьшает естественный </w:t>
      </w:r>
      <w:proofErr w:type="spellStart"/>
      <w:r w:rsidR="004568FA">
        <w:t>лордотический</w:t>
      </w:r>
      <w:proofErr w:type="spellEnd"/>
      <w:r w:rsidR="004568FA">
        <w:t xml:space="preserve"> изгиб</w:t>
      </w:r>
      <w:r w:rsidRPr="00E17978">
        <w:t xml:space="preserve"> и может быть причиной дискомфорта и невысоких результатов лечения после </w:t>
      </w:r>
      <w:proofErr w:type="spellStart"/>
      <w:r w:rsidRPr="00E17978">
        <w:t>тракции</w:t>
      </w:r>
      <w:proofErr w:type="spellEnd"/>
      <w:r w:rsidRPr="00E17978">
        <w:t xml:space="preserve"> [</w:t>
      </w:r>
      <w:r w:rsidRPr="00306267">
        <w:rPr>
          <w:color w:val="2E74B5" w:themeColor="accent5" w:themeShade="BF"/>
        </w:rPr>
        <w:t>14–16</w:t>
      </w:r>
      <w:r w:rsidRPr="00E17978">
        <w:t>]</w:t>
      </w:r>
      <w:r>
        <w:t>.</w:t>
      </w:r>
      <w:r w:rsidR="002A25F5">
        <w:t xml:space="preserve"> </w:t>
      </w:r>
      <w:r w:rsidR="004568FA">
        <w:t xml:space="preserve">Когда </w:t>
      </w:r>
      <w:proofErr w:type="spellStart"/>
      <w:r w:rsidR="004568FA">
        <w:t>лордотичесий</w:t>
      </w:r>
      <w:proofErr w:type="spellEnd"/>
      <w:r w:rsidR="002A25F5" w:rsidRPr="002A25F5">
        <w:t xml:space="preserve"> </w:t>
      </w:r>
      <w:r w:rsidR="004568FA">
        <w:t>изгиб</w:t>
      </w:r>
      <w:r w:rsidR="002A25F5" w:rsidRPr="002A25F5">
        <w:t xml:space="preserve"> уменьшается, задние структуры позвоноч</w:t>
      </w:r>
      <w:r w:rsidR="0027584F">
        <w:t xml:space="preserve">ника, </w:t>
      </w:r>
      <w:proofErr w:type="spellStart"/>
      <w:r w:rsidR="0027584F">
        <w:t>дугоотростчатые</w:t>
      </w:r>
      <w:proofErr w:type="spellEnd"/>
      <w:r w:rsidR="0027584F">
        <w:t xml:space="preserve"> суставы, </w:t>
      </w:r>
      <w:r w:rsidR="002A25F5" w:rsidRPr="002A25F5">
        <w:t xml:space="preserve">задняя продольная связка и межостистые связки растягиваются сильнее, чем передние структуры позвоночника. </w:t>
      </w:r>
      <w:proofErr w:type="gramStart"/>
      <w:r w:rsidR="002A25F5" w:rsidRPr="002A25F5">
        <w:t>Во</w:t>
      </w:r>
      <w:r w:rsidR="002A25F5">
        <w:t xml:space="preserve"> </w:t>
      </w:r>
      <w:r w:rsidR="002A25F5" w:rsidRPr="002A25F5">
        <w:t>время</w:t>
      </w:r>
      <w:proofErr w:type="gramEnd"/>
      <w:r w:rsidR="002A25F5" w:rsidRPr="002A25F5">
        <w:t xml:space="preserve"> TT это вызывает неправильную нагрузку на структуры диска. Таким образом, слишком растянутые задние структуры туловища могут вызывать боль. Во-вторых, положение субъекта может влиять на результаты </w:t>
      </w:r>
      <w:proofErr w:type="spellStart"/>
      <w:r w:rsidR="002A25F5" w:rsidRPr="002A25F5">
        <w:t>тракции</w:t>
      </w:r>
      <w:proofErr w:type="spellEnd"/>
      <w:r w:rsidR="002A25F5" w:rsidRPr="002A25F5">
        <w:t xml:space="preserve"> позвоночника. В положении ле</w:t>
      </w:r>
      <w:r w:rsidR="004568FA">
        <w:t xml:space="preserve">жа на спине </w:t>
      </w:r>
      <w:proofErr w:type="spellStart"/>
      <w:r w:rsidR="004568FA">
        <w:t>лордотический</w:t>
      </w:r>
      <w:proofErr w:type="spellEnd"/>
      <w:r w:rsidR="004568FA">
        <w:t xml:space="preserve"> изгиб</w:t>
      </w:r>
      <w:r w:rsidR="002A25F5" w:rsidRPr="002A25F5">
        <w:t xml:space="preserve"> уменьшается за счет вертикально направленной силы тяжести.</w:t>
      </w:r>
      <w:r w:rsidR="004568FA">
        <w:t xml:space="preserve"> В большей степени </w:t>
      </w:r>
      <w:proofErr w:type="spellStart"/>
      <w:r w:rsidR="004568FA">
        <w:t>лордотический</w:t>
      </w:r>
      <w:proofErr w:type="spellEnd"/>
      <w:r w:rsidR="004568FA">
        <w:t xml:space="preserve"> изгиб</w:t>
      </w:r>
      <w:r w:rsidR="002A25F5" w:rsidRPr="002A25F5">
        <w:t xml:space="preserve"> уменьшается у пациентов с болью в пояснице. Когда вытягивающая сила прикладывается к позвоночнику в положении лежа на спине методом ТТ, сила тяжести влияет на всю структуру позвоночника. Следо</w:t>
      </w:r>
      <w:r w:rsidR="004568FA">
        <w:t xml:space="preserve">вательно, </w:t>
      </w:r>
      <w:proofErr w:type="spellStart"/>
      <w:r w:rsidR="004568FA">
        <w:t>лордотический</w:t>
      </w:r>
      <w:proofErr w:type="spellEnd"/>
      <w:r w:rsidR="004568FA">
        <w:t xml:space="preserve"> изгиб</w:t>
      </w:r>
      <w:r w:rsidR="002A25F5" w:rsidRPr="002A25F5">
        <w:t xml:space="preserve"> не восстанавливается, что может вызвать боль</w:t>
      </w:r>
      <w:r w:rsidR="00162F17">
        <w:t>.</w:t>
      </w:r>
    </w:p>
    <w:p w:rsidR="00162F17" w:rsidRDefault="0027584F" w:rsidP="001834BF">
      <w:pPr>
        <w:spacing w:after="0"/>
        <w:contextualSpacing/>
        <w:jc w:val="both"/>
      </w:pPr>
      <w:r>
        <w:t>Таким образом</w:t>
      </w:r>
      <w:r w:rsidR="00162F17" w:rsidRPr="00162F17">
        <w:t xml:space="preserve">, мы задались вопросом, приведет ли к равномерному распределению силы на переднюю и заднюю части позвоночника приложение вытягивающей силы </w:t>
      </w:r>
      <w:r w:rsidR="004568FA" w:rsidRPr="00162F17">
        <w:t>с сохранением</w:t>
      </w:r>
      <w:r w:rsidR="004568FA">
        <w:t xml:space="preserve"> </w:t>
      </w:r>
      <w:proofErr w:type="spellStart"/>
      <w:r w:rsidR="004568FA">
        <w:t>лордотического</w:t>
      </w:r>
      <w:proofErr w:type="spellEnd"/>
      <w:r w:rsidR="00162F17" w:rsidRPr="00162F17">
        <w:t xml:space="preserve"> </w:t>
      </w:r>
      <w:r w:rsidR="004568FA">
        <w:t>изгиба</w:t>
      </w:r>
      <w:r w:rsidR="00162F17" w:rsidRPr="00162F17">
        <w:t xml:space="preserve">. Учитывая вышеизложенное </w:t>
      </w:r>
      <w:r w:rsidR="004568FA" w:rsidRPr="00162F17">
        <w:t>было изобретено</w:t>
      </w:r>
      <w:r w:rsidR="00162F17" w:rsidRPr="00162F17">
        <w:t xml:space="preserve"> устройство для вытяжения (</w:t>
      </w:r>
      <w:proofErr w:type="spellStart"/>
      <w:r w:rsidR="00162F17" w:rsidRPr="00162F17">
        <w:t>тракции</w:t>
      </w:r>
      <w:proofErr w:type="spellEnd"/>
      <w:r w:rsidR="00162F17" w:rsidRPr="00162F17">
        <w:t xml:space="preserve">) с контролем </w:t>
      </w:r>
      <w:proofErr w:type="spellStart"/>
      <w:r w:rsidR="00162F17" w:rsidRPr="00162F17">
        <w:t>лортодического</w:t>
      </w:r>
      <w:proofErr w:type="spellEnd"/>
      <w:r w:rsidR="00162F17" w:rsidRPr="00162F17">
        <w:t xml:space="preserve"> изгиба поясницы, которое нацелено на межпозвоночное пространство сегмента L3–L5. В нашем предыдущем исследовании [</w:t>
      </w:r>
      <w:r w:rsidR="00162F17" w:rsidRPr="00306267">
        <w:rPr>
          <w:color w:val="2E74B5" w:themeColor="accent5" w:themeShade="BF"/>
        </w:rPr>
        <w:t>17</w:t>
      </w:r>
      <w:r w:rsidR="00162F17" w:rsidRPr="00162F17">
        <w:t>] мы измеряли морфологические изменения шейных межпозвонковых дисков при применении L-LCCT и сравнивали эти выводы с ТТ. Мы заметили, что у пациентов в группе L-LCCT передние и задние структуры позвоночника были одинаково растянуты, но у пациентов в группе ТТ наблюдалось диспропорциональное растяжение заднего отдела. Неправильно приложенная декомпрессионная сила рассматривается как решающий фактор наблюдаемых низких результатов у пациентов из группы ТТ. У пациентов из группы L-LCCT равномерно удлиненные передние и задние структуры показали благоприятные болевые, функциональные и морфологические изменения.</w:t>
      </w:r>
    </w:p>
    <w:p w:rsidR="00E65C10" w:rsidRDefault="00E65C10" w:rsidP="001834BF">
      <w:pPr>
        <w:spacing w:after="0"/>
        <w:contextualSpacing/>
        <w:jc w:val="both"/>
      </w:pPr>
      <w:r w:rsidRPr="00E65C10">
        <w:t>На сегодняшний день ни в одном исследовании с использованием метода L-LCCT не измерялись функциональные результаты и морфологические изменения межпозвоночного диска у пациентов с заболеванием поясничного межпозвонкового диска. Таким образом, целью нашей работы стало исследование клинической эффективности метода L-LCCT по сравнению с методом TT у пациентов с заболеванием межпозвоночного диска поясницы.</w:t>
      </w:r>
    </w:p>
    <w:p w:rsidR="0027584F" w:rsidRDefault="0027584F" w:rsidP="001834BF">
      <w:pPr>
        <w:spacing w:after="0"/>
        <w:contextualSpacing/>
        <w:jc w:val="both"/>
      </w:pPr>
    </w:p>
    <w:p w:rsidR="0068724E" w:rsidRDefault="0068724E" w:rsidP="001834BF">
      <w:pPr>
        <w:spacing w:after="0"/>
        <w:contextualSpacing/>
        <w:jc w:val="both"/>
        <w:rPr>
          <w:b/>
        </w:rPr>
      </w:pPr>
      <w:r w:rsidRPr="0068724E">
        <w:rPr>
          <w:b/>
        </w:rPr>
        <w:t>2. Материалы и методы</w:t>
      </w:r>
    </w:p>
    <w:p w:rsidR="0068724E" w:rsidRDefault="00A15FC7" w:rsidP="001834BF">
      <w:pPr>
        <w:spacing w:after="0"/>
        <w:contextualSpacing/>
        <w:jc w:val="both"/>
      </w:pPr>
      <w:r w:rsidRPr="00A15FC7">
        <w:t xml:space="preserve">Это исследование является двойным слепым </w:t>
      </w:r>
      <w:proofErr w:type="spellStart"/>
      <w:r w:rsidRPr="00A15FC7">
        <w:t>рандомизированным</w:t>
      </w:r>
      <w:proofErr w:type="spellEnd"/>
      <w:r w:rsidRPr="00A15FC7">
        <w:t xml:space="preserve"> контролируемым исследованием, сравнивающим методы L-LCCT и TT. Для исследования были выбраны пациенты </w:t>
      </w:r>
      <w:r w:rsidR="00C67DE9">
        <w:t>поликлиники</w:t>
      </w:r>
      <w:r w:rsidRPr="00A15FC7">
        <w:t xml:space="preserve"> с заболеванием межпозвоночного диска. Это исследование было проведено в </w:t>
      </w:r>
      <w:r w:rsidRPr="00A15FC7">
        <w:lastRenderedPageBreak/>
        <w:t>соответствии с Хельсинкской декларацией. Все пациенты получили достаточно объяснений относительно целей и методов исследования.</w:t>
      </w:r>
    </w:p>
    <w:p w:rsidR="00CB092F" w:rsidRDefault="00CB092F" w:rsidP="001834BF">
      <w:pPr>
        <w:spacing w:after="0"/>
        <w:contextualSpacing/>
        <w:jc w:val="both"/>
      </w:pPr>
      <w:r w:rsidRPr="00CB092F">
        <w:t>Пациенты были случайным образом разделены на две группы (L-LCCT или TT) врачом-исследователем с использованием таблицы случайных чисел, сгенерированной компьютером. Никто из пациентов не знал в какой группе оказался. Оценки проводил врач, который также не знал какое лечение проходит пациент. Это исследование было одобрено 20 апреля 2016 г. Исследование было одобрено наблюдательным советом (IRB 04-2016-029).</w:t>
      </w:r>
    </w:p>
    <w:p w:rsidR="009C7F08" w:rsidRDefault="009C7F08" w:rsidP="001834BF">
      <w:pPr>
        <w:spacing w:after="0"/>
        <w:contextualSpacing/>
        <w:jc w:val="both"/>
      </w:pPr>
    </w:p>
    <w:p w:rsidR="009C7F08" w:rsidRPr="007C0C20" w:rsidRDefault="009C7F08" w:rsidP="009C7F08">
      <w:pPr>
        <w:spacing w:after="0"/>
        <w:contextualSpacing/>
        <w:jc w:val="both"/>
        <w:rPr>
          <w:i/>
        </w:rPr>
      </w:pPr>
      <w:r w:rsidRPr="007C0C20">
        <w:rPr>
          <w:i/>
        </w:rPr>
        <w:t>2.1. Участники исследования и исследуемая область</w:t>
      </w:r>
    </w:p>
    <w:p w:rsidR="009C7F08" w:rsidRDefault="00AB410C" w:rsidP="001834BF">
      <w:pPr>
        <w:spacing w:after="0"/>
        <w:contextualSpacing/>
        <w:jc w:val="both"/>
      </w:pPr>
      <w:r w:rsidRPr="00AB410C">
        <w:t>В исследовании приняли участие 40 пациентов (17 мужчин и 23 женщины) с з</w:t>
      </w:r>
      <w:r w:rsidR="00C67DE9">
        <w:t>а</w:t>
      </w:r>
      <w:r w:rsidRPr="00AB410C">
        <w:t xml:space="preserve">болеванием поясничного межпозвонкового диска сегмента L4-L5 или L5-S1, что было подтверждено МРТ (магнитно-резонансная томография). Отбор пациентов проходил в период с июня 2016 г. по февраль 2017 г. Критерием включения был диагноз: грыжа межпозвонкового диска поясничного отдела позвоночника с неослабевающей болью в пояснице и / или симптомами ишиаса, которые длятся более 3 месяцев. Критериями исключения были: острое воспаление, нестабильность позвонков поясницы, </w:t>
      </w:r>
      <w:proofErr w:type="spellStart"/>
      <w:r w:rsidRPr="00AB410C">
        <w:t>гипермобильность</w:t>
      </w:r>
      <w:proofErr w:type="spellEnd"/>
      <w:r w:rsidRPr="00AB410C">
        <w:t xml:space="preserve"> суставов, затрудненное сгибание или разгибание поясницы, или выпирающий фрагмент диска [</w:t>
      </w:r>
      <w:r w:rsidRPr="00254F01">
        <w:rPr>
          <w:color w:val="2E74B5" w:themeColor="accent5" w:themeShade="BF"/>
        </w:rPr>
        <w:t>18</w:t>
      </w:r>
      <w:r w:rsidRPr="00AB410C">
        <w:t>]. Физическая активность каждого пациента была ограничена ежедневной активностью, не превышающей 6 метаболических эквивалентов (MET) (эквивалентно 3,5 - 7 ккал / мин, что аналогично ходьбе при прогулке или от легкой до умеренной работе по дому) [</w:t>
      </w:r>
      <w:r w:rsidRPr="00254F01">
        <w:rPr>
          <w:color w:val="2E74B5" w:themeColor="accent5" w:themeShade="BF"/>
        </w:rPr>
        <w:t>19</w:t>
      </w:r>
      <w:r w:rsidRPr="00AB410C">
        <w:t>]. Во время клинических опросов пациентов фиксировалась информация обо всей жизнедеятельности. Те, кто не соблюдали вышеизложенные правила, были исключены из исследования.</w:t>
      </w:r>
    </w:p>
    <w:p w:rsidR="004568FA" w:rsidRDefault="004568FA" w:rsidP="001834BF">
      <w:pPr>
        <w:spacing w:after="0"/>
        <w:contextualSpacing/>
        <w:jc w:val="both"/>
      </w:pPr>
    </w:p>
    <w:p w:rsidR="004568FA" w:rsidRDefault="004568FA" w:rsidP="004568FA">
      <w:pPr>
        <w:spacing w:after="0"/>
        <w:contextualSpacing/>
        <w:jc w:val="both"/>
        <w:rPr>
          <w:i/>
        </w:rPr>
      </w:pPr>
      <w:r w:rsidRPr="006F74AD">
        <w:rPr>
          <w:i/>
        </w:rPr>
        <w:t>2.2 C-LCCT против TT</w:t>
      </w:r>
    </w:p>
    <w:p w:rsidR="00755A9C" w:rsidRPr="00A57988" w:rsidRDefault="00A57988" w:rsidP="00755A9C">
      <w:pPr>
        <w:spacing w:after="0"/>
        <w:contextualSpacing/>
        <w:jc w:val="both"/>
      </w:pPr>
      <w:r w:rsidRPr="00A57988">
        <w:t xml:space="preserve">Метод </w:t>
      </w:r>
      <w:r w:rsidRPr="00A57988">
        <w:rPr>
          <w:lang w:val="en-US"/>
        </w:rPr>
        <w:t>C</w:t>
      </w:r>
      <w:r w:rsidRPr="00A57988">
        <w:t>-</w:t>
      </w:r>
      <w:r w:rsidRPr="00A57988">
        <w:rPr>
          <w:lang w:val="en-US"/>
        </w:rPr>
        <w:t>LCCT</w:t>
      </w:r>
      <w:r w:rsidRPr="00A57988">
        <w:t xml:space="preserve"> (метод реализуется оборудованием </w:t>
      </w:r>
      <w:r w:rsidRPr="00A57988">
        <w:rPr>
          <w:lang w:val="en-US"/>
        </w:rPr>
        <w:t>KINETRAC</w:t>
      </w:r>
      <w:r w:rsidRPr="00A57988">
        <w:t xml:space="preserve"> </w:t>
      </w:r>
      <w:r w:rsidRPr="00A57988">
        <w:rPr>
          <w:lang w:val="en-US"/>
        </w:rPr>
        <w:t>KNX</w:t>
      </w:r>
      <w:r w:rsidRPr="00A57988">
        <w:t xml:space="preserve">-9900, </w:t>
      </w:r>
      <w:proofErr w:type="spellStart"/>
      <w:r w:rsidRPr="00A57988">
        <w:rPr>
          <w:lang w:val="en-US"/>
        </w:rPr>
        <w:t>Hanmed</w:t>
      </w:r>
      <w:proofErr w:type="spellEnd"/>
      <w:r w:rsidRPr="00A57988">
        <w:t xml:space="preserve"> </w:t>
      </w:r>
      <w:r w:rsidRPr="00A57988">
        <w:rPr>
          <w:lang w:val="en-US"/>
        </w:rPr>
        <w:t>Co</w:t>
      </w:r>
      <w:r w:rsidRPr="00A57988">
        <w:t xml:space="preserve">., </w:t>
      </w:r>
      <w:proofErr w:type="spellStart"/>
      <w:r w:rsidRPr="00A57988">
        <w:t>Кимхэ</w:t>
      </w:r>
      <w:proofErr w:type="spellEnd"/>
      <w:r w:rsidRPr="00A57988">
        <w:t xml:space="preserve">, Республика Корея) использовался для поддержания естественного </w:t>
      </w:r>
      <w:proofErr w:type="spellStart"/>
      <w:r w:rsidRPr="00A57988">
        <w:t>лордотического</w:t>
      </w:r>
      <w:proofErr w:type="spellEnd"/>
      <w:r w:rsidRPr="00A57988">
        <w:t xml:space="preserve"> изгиба поясницы в сегменте </w:t>
      </w:r>
      <w:r w:rsidRPr="00A57988">
        <w:rPr>
          <w:lang w:val="en-US"/>
        </w:rPr>
        <w:t>L</w:t>
      </w:r>
      <w:r w:rsidRPr="00A57988">
        <w:t>3–</w:t>
      </w:r>
      <w:r w:rsidRPr="00A57988">
        <w:rPr>
          <w:lang w:val="en-US"/>
        </w:rPr>
        <w:t>L</w:t>
      </w:r>
      <w:r w:rsidRPr="00A57988">
        <w:t xml:space="preserve">5. После того как пациент принимал положение лежа на спине, грудь и таз фиксировались. Сначала с помощью пальпации в области диска </w:t>
      </w:r>
      <w:r w:rsidRPr="00A57988">
        <w:rPr>
          <w:lang w:val="en-US"/>
        </w:rPr>
        <w:t>L</w:t>
      </w:r>
      <w:r w:rsidR="00C67DE9">
        <w:t>4 крепил</w:t>
      </w:r>
      <w:r w:rsidRPr="00A57988">
        <w:t>ся магнитный маркер (рисунок 1). Автомати</w:t>
      </w:r>
      <w:r w:rsidR="00B67324">
        <w:t>ческая</w:t>
      </w:r>
      <w:r w:rsidRPr="00A57988">
        <w:t xml:space="preserve"> система </w:t>
      </w:r>
      <w:r w:rsidR="00B67324">
        <w:t>отслеживан</w:t>
      </w:r>
      <w:r w:rsidRPr="00A57988">
        <w:t xml:space="preserve">ия обеспечивала поясничный </w:t>
      </w:r>
      <w:proofErr w:type="spellStart"/>
      <w:r w:rsidRPr="00A57988">
        <w:t>лордотический</w:t>
      </w:r>
      <w:proofErr w:type="spellEnd"/>
      <w:r w:rsidRPr="00A57988">
        <w:t xml:space="preserve"> изгиб </w:t>
      </w:r>
      <w:proofErr w:type="gramStart"/>
      <w:r w:rsidRPr="00A57988">
        <w:t>во время</w:t>
      </w:r>
      <w:proofErr w:type="gramEnd"/>
      <w:r w:rsidRPr="00A57988">
        <w:t xml:space="preserve"> </w:t>
      </w:r>
      <w:r w:rsidRPr="00A57988">
        <w:rPr>
          <w:lang w:val="en-US"/>
        </w:rPr>
        <w:t>L</w:t>
      </w:r>
      <w:r w:rsidRPr="00A57988">
        <w:t>-</w:t>
      </w:r>
      <w:r w:rsidRPr="00A57988">
        <w:rPr>
          <w:lang w:val="en-US"/>
        </w:rPr>
        <w:t>LCCT</w:t>
      </w:r>
      <w:r w:rsidRPr="00A57988">
        <w:t xml:space="preserve"> за счёт подъёма сегмента </w:t>
      </w:r>
      <w:r w:rsidRPr="00A57988">
        <w:rPr>
          <w:lang w:val="en-US"/>
        </w:rPr>
        <w:t>L</w:t>
      </w:r>
      <w:r w:rsidRPr="00A57988">
        <w:t>3–</w:t>
      </w:r>
      <w:r w:rsidRPr="00A57988">
        <w:rPr>
          <w:lang w:val="en-US"/>
        </w:rPr>
        <w:t>L</w:t>
      </w:r>
      <w:r w:rsidRPr="00A57988">
        <w:t>5.</w:t>
      </w:r>
      <w:r w:rsidR="00755A9C" w:rsidRPr="00755A9C">
        <w:t xml:space="preserve"> Магнитный поверхностный маркер был прикреплен в области диска L4, где </w:t>
      </w:r>
      <w:proofErr w:type="spellStart"/>
      <w:r w:rsidR="00755A9C" w:rsidRPr="00755A9C">
        <w:t>лордотическая</w:t>
      </w:r>
      <w:proofErr w:type="spellEnd"/>
      <w:r w:rsidR="00755A9C" w:rsidRPr="00755A9C">
        <w:t xml:space="preserve"> кривая максимальна. Поскольку самая высокая </w:t>
      </w:r>
      <w:proofErr w:type="spellStart"/>
      <w:r w:rsidR="00755A9C" w:rsidRPr="00755A9C">
        <w:t>лордотическая</w:t>
      </w:r>
      <w:proofErr w:type="spellEnd"/>
      <w:r w:rsidR="00755A9C" w:rsidRPr="00755A9C">
        <w:t xml:space="preserve"> точка перемещается во время вытяжения, автомати</w:t>
      </w:r>
      <w:r w:rsidR="00B67324">
        <w:t>ческая</w:t>
      </w:r>
      <w:r w:rsidR="00755A9C" w:rsidRPr="00755A9C">
        <w:t xml:space="preserve"> система </w:t>
      </w:r>
      <w:r w:rsidR="00B67324">
        <w:t>отслежива</w:t>
      </w:r>
      <w:r w:rsidR="00755A9C" w:rsidRPr="00755A9C">
        <w:t xml:space="preserve">ния следовала за поверхностный магнитным маркером и, таким образом, постоянно поддерживалась </w:t>
      </w:r>
      <w:proofErr w:type="spellStart"/>
      <w:r w:rsidR="00755A9C" w:rsidRPr="00755A9C">
        <w:t>лордотическая</w:t>
      </w:r>
      <w:proofErr w:type="spellEnd"/>
      <w:r w:rsidR="00755A9C" w:rsidRPr="00755A9C">
        <w:t xml:space="preserve"> кривая. </w:t>
      </w:r>
      <w:proofErr w:type="gramStart"/>
      <w:r w:rsidR="00755A9C" w:rsidRPr="00755A9C">
        <w:t>Во время</w:t>
      </w:r>
      <w:proofErr w:type="gramEnd"/>
      <w:r w:rsidR="00755A9C" w:rsidRPr="00755A9C">
        <w:t xml:space="preserve"> L-LCCT высота приподнятого поясничного </w:t>
      </w:r>
      <w:proofErr w:type="spellStart"/>
      <w:r w:rsidR="00755A9C" w:rsidRPr="00755A9C">
        <w:t>лордотического</w:t>
      </w:r>
      <w:proofErr w:type="spellEnd"/>
      <w:r w:rsidR="00755A9C" w:rsidRPr="00755A9C">
        <w:t xml:space="preserve"> изгиба увеличивалась до наиболее удобного значения для каждого пациента. Диапазон действия устройства не превышал диапазон действия человеческого тела. Кроме </w:t>
      </w:r>
      <w:r w:rsidR="00F85159" w:rsidRPr="00755A9C">
        <w:t>того, максимальная</w:t>
      </w:r>
      <w:r w:rsidR="00755A9C" w:rsidRPr="00755A9C">
        <w:t xml:space="preserve"> сила вытяжения не превышала 100 фунтов, или 50 % от веса пациента, что предотвращает повреждение мышц и сухожилий пациента</w:t>
      </w:r>
    </w:p>
    <w:p w:rsidR="001834BF" w:rsidRPr="0008664B" w:rsidRDefault="001834BF" w:rsidP="001834BF">
      <w:pPr>
        <w:spacing w:after="0"/>
        <w:contextualSpacing/>
        <w:jc w:val="both"/>
      </w:pPr>
    </w:p>
    <w:p w:rsidR="007D4F05" w:rsidRDefault="007B6C82" w:rsidP="007B6C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F8" w:rsidRDefault="005E26F8" w:rsidP="005E26F8">
      <w:pPr>
        <w:jc w:val="center"/>
      </w:pPr>
      <w:r w:rsidRPr="005E26F8">
        <w:rPr>
          <w:b/>
        </w:rPr>
        <w:t>Рис</w:t>
      </w:r>
      <w:r>
        <w:rPr>
          <w:b/>
        </w:rPr>
        <w:t>унок</w:t>
      </w:r>
      <w:r w:rsidRPr="005E26F8">
        <w:rPr>
          <w:b/>
        </w:rPr>
        <w:t xml:space="preserve"> 1</w:t>
      </w:r>
      <w:r w:rsidRPr="005E26F8">
        <w:t xml:space="preserve">. Техники вытяжения поясницы: (A) </w:t>
      </w:r>
      <w:proofErr w:type="spellStart"/>
      <w:r w:rsidRPr="005E26F8">
        <w:t>т</w:t>
      </w:r>
      <w:r w:rsidR="00434B4B">
        <w:t>ракция</w:t>
      </w:r>
      <w:proofErr w:type="spellEnd"/>
      <w:r w:rsidR="00434B4B">
        <w:t xml:space="preserve"> с контролем </w:t>
      </w:r>
      <w:proofErr w:type="spellStart"/>
      <w:r w:rsidR="00434B4B">
        <w:t>лордотического</w:t>
      </w:r>
      <w:proofErr w:type="spellEnd"/>
      <w:r w:rsidR="00434B4B">
        <w:t xml:space="preserve"> изгиба</w:t>
      </w:r>
      <w:r w:rsidRPr="005E26F8">
        <w:t xml:space="preserve"> поясницы (L-LCCT) и (B) традиционная </w:t>
      </w:r>
      <w:proofErr w:type="spellStart"/>
      <w:r w:rsidRPr="005E26F8">
        <w:t>тракция</w:t>
      </w:r>
      <w:proofErr w:type="spellEnd"/>
      <w:r w:rsidRPr="005E26F8">
        <w:t xml:space="preserve"> (ТТ). Магнитный маркер был прикреплен к коже в области позвонка L4 с помощью физической пальпации</w:t>
      </w:r>
    </w:p>
    <w:p w:rsidR="001813AA" w:rsidRDefault="00257FA8" w:rsidP="00257FA8">
      <w:pPr>
        <w:jc w:val="both"/>
      </w:pPr>
      <w:r w:rsidRPr="00257FA8">
        <w:lastRenderedPageBreak/>
        <w:t xml:space="preserve">При методе ТТ у пациентов не применялась поддержка поясничного </w:t>
      </w:r>
      <w:proofErr w:type="spellStart"/>
      <w:r w:rsidRPr="00257FA8">
        <w:t>лордотического</w:t>
      </w:r>
      <w:proofErr w:type="spellEnd"/>
      <w:r w:rsidRPr="00257FA8">
        <w:t xml:space="preserve"> изгиба. Мы следовали тому же протоколу лечения, что и для L-LCCT, за исключением поддержки </w:t>
      </w:r>
      <w:proofErr w:type="spellStart"/>
      <w:r w:rsidRPr="00257FA8">
        <w:t>лордотического</w:t>
      </w:r>
      <w:proofErr w:type="spellEnd"/>
      <w:r w:rsidRPr="00257FA8">
        <w:t xml:space="preserve"> изгиба. Согласно предыдущим отчетам, все пациенты получали лечение три дня в неделю в течение пяти недель [</w:t>
      </w:r>
      <w:r w:rsidRPr="00254F01">
        <w:rPr>
          <w:color w:val="2E74B5" w:themeColor="accent5" w:themeShade="BF"/>
        </w:rPr>
        <w:t>3</w:t>
      </w:r>
      <w:r w:rsidRPr="00257FA8">
        <w:t xml:space="preserve">]. Продолжительность </w:t>
      </w:r>
      <w:proofErr w:type="spellStart"/>
      <w:r w:rsidRPr="00257FA8">
        <w:t>тракции</w:t>
      </w:r>
      <w:proofErr w:type="spellEnd"/>
      <w:r w:rsidRPr="00257FA8">
        <w:t xml:space="preserve"> составляла 15 мин, в сумме в каждой группе было проведено 15 сеансов.</w:t>
      </w:r>
    </w:p>
    <w:p w:rsidR="00496E6B" w:rsidRDefault="00496E6B" w:rsidP="00496E6B">
      <w:pPr>
        <w:spacing w:after="0"/>
        <w:contextualSpacing/>
        <w:jc w:val="both"/>
        <w:rPr>
          <w:i/>
        </w:rPr>
      </w:pPr>
      <w:r w:rsidRPr="00FA18FA">
        <w:rPr>
          <w:i/>
        </w:rPr>
        <w:t>2.3. Оценка результатов с использованием болевого и функционального состояния</w:t>
      </w:r>
    </w:p>
    <w:p w:rsidR="000E13A2" w:rsidRDefault="00E5518A" w:rsidP="000E13A2">
      <w:pPr>
        <w:spacing w:after="0"/>
        <w:contextualSpacing/>
        <w:jc w:val="both"/>
      </w:pPr>
      <w:r w:rsidRPr="00E5518A">
        <w:t xml:space="preserve">Боль и функциональные результаты измерялись до первого </w:t>
      </w:r>
      <w:r w:rsidR="00C67DE9">
        <w:t>сеанса</w:t>
      </w:r>
      <w:r w:rsidRPr="00E5518A">
        <w:t xml:space="preserve"> и после курса лечения</w:t>
      </w:r>
      <w:r w:rsidR="00F41B8E">
        <w:t xml:space="preserve">. </w:t>
      </w:r>
      <w:r w:rsidR="00F41B8E" w:rsidRPr="00F41B8E">
        <w:t>С помощью VAS по шкале от 0 до 10 измерялась боль в туловище и нижних конечностях, усиливающаяся при повседневной активности. Пациентов просили поставить отметку на линии для указания уровня боли (0 говорит об отсутствии боли, а 10 - о самой сильной боли).</w:t>
      </w:r>
    </w:p>
    <w:p w:rsidR="000E13A2" w:rsidRDefault="000E13A2" w:rsidP="000E13A2">
      <w:pPr>
        <w:spacing w:after="0"/>
        <w:contextualSpacing/>
        <w:jc w:val="both"/>
      </w:pPr>
      <w:r w:rsidRPr="000E13A2">
        <w:t>ODI и RM использовались для оценки функционального состояния пациентов. Оценка с помощью индекса инвалидности Освестри ODI состоит из 10 пунктов, характеризующих повседневную деятельность, которая может быть нарушена вследствие боли. Это следующие пункты: 1. Интенсивность боли, 2. Личный уход, 3. Подъем, 4. Ходьба, 5. Сидение, 6. Сохранение положения стоя, 7. Сон, 8. Половая жизнь, 9. Общественная жизнь и 10. Путешествие. Каждый п</w:t>
      </w:r>
      <w:r w:rsidR="00C67DE9">
        <w:t>ункт</w:t>
      </w:r>
      <w:r w:rsidRPr="000E13A2">
        <w:t xml:space="preserve"> оценивается по 6-балльной шкале </w:t>
      </w:r>
      <w:proofErr w:type="spellStart"/>
      <w:r w:rsidRPr="000E13A2">
        <w:t>Ликерта</w:t>
      </w:r>
      <w:proofErr w:type="spellEnd"/>
      <w:r w:rsidRPr="000E13A2">
        <w:t>. Общий балл переводится по шкале от 0 до 100, где 0 означает отсутствие инвалидности, а 100 означает наихудшую возможную инвалидность [</w:t>
      </w:r>
      <w:r w:rsidRPr="00254F01">
        <w:rPr>
          <w:color w:val="2E74B5" w:themeColor="accent5" w:themeShade="BF"/>
        </w:rPr>
        <w:t>20</w:t>
      </w:r>
      <w:r w:rsidRPr="000E13A2">
        <w:t>].</w:t>
      </w:r>
      <w:r w:rsidR="007D65EF">
        <w:t xml:space="preserve"> </w:t>
      </w:r>
      <w:r w:rsidR="007D65EF" w:rsidRPr="007D65EF">
        <w:t>Анкета инвалидности Роланда – Морриса RM состоит из 24 пунктов, которые сообщают об инвалидности, вызванной болями в пояснице. Оценка 0 присваивается пункту, если пациент с ним н</w:t>
      </w:r>
      <w:r w:rsidR="00C67DE9">
        <w:t xml:space="preserve">е соглашается, оценка 1 -  если </w:t>
      </w:r>
      <w:r w:rsidR="007D65EF" w:rsidRPr="007D65EF">
        <w:t>пациент соглашается с пунктом. Общая оценка находится в диапазоне от 0 до 24. Более высокие баллы говорят о более высоком уровне инвалидности вызванной болью [</w:t>
      </w:r>
      <w:r w:rsidR="007D65EF" w:rsidRPr="00254F01">
        <w:rPr>
          <w:color w:val="2E74B5" w:themeColor="accent5" w:themeShade="BF"/>
        </w:rPr>
        <w:t>21</w:t>
      </w:r>
      <w:r w:rsidR="007D65EF" w:rsidRPr="007D65EF">
        <w:t>]. Типичные оценки теста RM находятся в диапазоне от 0,79 до 0,88 балла для относительной надежности (внутриклассовая корреляция) и от 1,7 до 2,0 балла для абсолютной надежности.</w:t>
      </w:r>
    </w:p>
    <w:p w:rsidR="00A375B7" w:rsidRDefault="00A375B7" w:rsidP="000E13A2">
      <w:pPr>
        <w:spacing w:after="0"/>
        <w:contextualSpacing/>
        <w:jc w:val="both"/>
      </w:pPr>
    </w:p>
    <w:p w:rsidR="00A375B7" w:rsidRDefault="00A375B7" w:rsidP="000E13A2">
      <w:pPr>
        <w:spacing w:after="0"/>
        <w:contextualSpacing/>
        <w:jc w:val="both"/>
        <w:rPr>
          <w:i/>
        </w:rPr>
      </w:pPr>
      <w:r w:rsidRPr="00A375B7">
        <w:rPr>
          <w:i/>
        </w:rPr>
        <w:t>2.4. Измерение морфологических изменений степени тяжести заболевания поясничного диска с помощью МРТ поясничного отдела</w:t>
      </w:r>
    </w:p>
    <w:p w:rsidR="009F1F10" w:rsidRDefault="00C67DE9" w:rsidP="000E13A2">
      <w:pPr>
        <w:spacing w:after="0"/>
        <w:contextualSpacing/>
        <w:jc w:val="both"/>
      </w:pPr>
      <w:r>
        <w:t xml:space="preserve">Мы оценивали изменения </w:t>
      </w:r>
      <w:r w:rsidR="00A94FEC" w:rsidRPr="00A94FEC">
        <w:t xml:space="preserve">площади центрального канала поясницы до и после </w:t>
      </w:r>
      <w:proofErr w:type="spellStart"/>
      <w:r w:rsidR="00A94FEC" w:rsidRPr="00A94FEC">
        <w:t>тракции</w:t>
      </w:r>
      <w:proofErr w:type="spellEnd"/>
      <w:r w:rsidR="00A94FEC" w:rsidRPr="00A94FEC">
        <w:t xml:space="preserve">. МРТ исследования проводились с использованием МРТ 3 </w:t>
      </w:r>
      <w:r w:rsidR="00A94FEC" w:rsidRPr="00A94FEC">
        <w:rPr>
          <w:lang w:val="en-US"/>
        </w:rPr>
        <w:t>Tesla</w:t>
      </w:r>
      <w:r w:rsidR="00A94FEC" w:rsidRPr="00A94FEC">
        <w:t xml:space="preserve"> (</w:t>
      </w:r>
      <w:r w:rsidR="00A94FEC" w:rsidRPr="00A94FEC">
        <w:rPr>
          <w:lang w:val="en-US"/>
        </w:rPr>
        <w:t>Siemens</w:t>
      </w:r>
      <w:r w:rsidR="00A94FEC" w:rsidRPr="00A94FEC">
        <w:t xml:space="preserve"> </w:t>
      </w:r>
      <w:r w:rsidR="00A94FEC" w:rsidRPr="00A94FEC">
        <w:rPr>
          <w:lang w:val="en-US"/>
        </w:rPr>
        <w:t>Healthcare</w:t>
      </w:r>
      <w:r w:rsidR="00A94FEC" w:rsidRPr="00A94FEC">
        <w:t xml:space="preserve"> </w:t>
      </w:r>
      <w:r w:rsidR="00A94FEC" w:rsidRPr="00A94FEC">
        <w:rPr>
          <w:lang w:val="en-US"/>
        </w:rPr>
        <w:t>GmbH</w:t>
      </w:r>
      <w:r w:rsidR="00A94FEC" w:rsidRPr="00A94FEC">
        <w:t xml:space="preserve">, </w:t>
      </w:r>
      <w:proofErr w:type="spellStart"/>
      <w:r w:rsidR="00A94FEC" w:rsidRPr="00A94FEC">
        <w:t>Эрланген</w:t>
      </w:r>
      <w:proofErr w:type="spellEnd"/>
      <w:r w:rsidR="00A94FEC" w:rsidRPr="00A94FEC">
        <w:t xml:space="preserve">, Германия). Для измерений использовались </w:t>
      </w:r>
      <w:r w:rsidR="00A94FEC" w:rsidRPr="00A94FEC">
        <w:rPr>
          <w:lang w:val="en-US"/>
        </w:rPr>
        <w:t>T</w:t>
      </w:r>
      <w:r w:rsidR="00A94FEC" w:rsidRPr="00A94FEC">
        <w:t>2-взвешенные изображения (поле обзора (</w:t>
      </w:r>
      <w:r w:rsidR="00A94FEC" w:rsidRPr="00A94FEC">
        <w:rPr>
          <w:lang w:val="en-US"/>
        </w:rPr>
        <w:t>FOV</w:t>
      </w:r>
      <w:r w:rsidR="00A94FEC" w:rsidRPr="00A94FEC">
        <w:t>): 150 × 150 мм; время эхо (</w:t>
      </w:r>
      <w:r w:rsidR="00A94FEC" w:rsidRPr="00A94FEC">
        <w:rPr>
          <w:lang w:val="en-US"/>
        </w:rPr>
        <w:t>TE</w:t>
      </w:r>
      <w:r w:rsidR="00A94FEC" w:rsidRPr="00A94FEC">
        <w:t xml:space="preserve">): 108 </w:t>
      </w:r>
      <w:proofErr w:type="spellStart"/>
      <w:r w:rsidR="00A94FEC" w:rsidRPr="00A94FEC">
        <w:t>мс</w:t>
      </w:r>
      <w:proofErr w:type="spellEnd"/>
      <w:r w:rsidR="00A94FEC" w:rsidRPr="00A94FEC">
        <w:t>; время повторения (</w:t>
      </w:r>
      <w:r w:rsidR="00A94FEC" w:rsidRPr="00A94FEC">
        <w:rPr>
          <w:lang w:val="en-US"/>
        </w:rPr>
        <w:t>TR</w:t>
      </w:r>
      <w:r w:rsidR="00A94FEC" w:rsidRPr="00A94FEC">
        <w:t xml:space="preserve">): 4500 </w:t>
      </w:r>
      <w:proofErr w:type="spellStart"/>
      <w:r w:rsidR="00A94FEC" w:rsidRPr="00A94FEC">
        <w:t>мс</w:t>
      </w:r>
      <w:proofErr w:type="spellEnd"/>
      <w:r w:rsidR="00A94FEC" w:rsidRPr="00A94FEC">
        <w:t xml:space="preserve">), аксиальное изображение с наибольшей высотой </w:t>
      </w:r>
      <w:r>
        <w:t xml:space="preserve">подъёма </w:t>
      </w:r>
      <w:r w:rsidR="00A94FEC" w:rsidRPr="00A94FEC">
        <w:t xml:space="preserve">диска, связанной с наибольшей неврологической компрессией. В этом исследовании были выбраны сегменты </w:t>
      </w:r>
      <w:r w:rsidR="00A94FEC" w:rsidRPr="00A94FEC">
        <w:rPr>
          <w:lang w:val="en-US"/>
        </w:rPr>
        <w:t>L</w:t>
      </w:r>
      <w:r w:rsidR="00A94FEC" w:rsidRPr="00A94FEC">
        <w:t>4-</w:t>
      </w:r>
      <w:r w:rsidR="00A94FEC" w:rsidRPr="00A94FEC">
        <w:rPr>
          <w:lang w:val="en-US"/>
        </w:rPr>
        <w:t>L</w:t>
      </w:r>
      <w:r w:rsidR="00A94FEC" w:rsidRPr="00A94FEC">
        <w:t xml:space="preserve">5 или </w:t>
      </w:r>
      <w:r w:rsidR="00A94FEC" w:rsidRPr="00A94FEC">
        <w:rPr>
          <w:lang w:val="en-US"/>
        </w:rPr>
        <w:t>L</w:t>
      </w:r>
      <w:r w:rsidR="00A94FEC" w:rsidRPr="00A94FEC">
        <w:t>5-</w:t>
      </w:r>
      <w:r w:rsidR="00A94FEC" w:rsidRPr="00A94FEC">
        <w:rPr>
          <w:lang w:val="en-US"/>
        </w:rPr>
        <w:t>S</w:t>
      </w:r>
      <w:r w:rsidR="00A94FEC" w:rsidRPr="00A94FEC">
        <w:t>1.</w:t>
      </w:r>
      <w:r w:rsidR="00A94FEC">
        <w:t xml:space="preserve"> </w:t>
      </w:r>
      <w:r w:rsidR="00A94FEC" w:rsidRPr="00A94FEC">
        <w:t>Цифровое измерение площади центрального канала было выполнено с помощью трассировки области поперечного сечения твердой мозговой оболочки на аксиальном МРТ снимке на уровне диска (рисунок 2).</w:t>
      </w:r>
      <w:r w:rsidR="009F1F10" w:rsidRPr="009F1F10">
        <w:t xml:space="preserve"> Измерения проводил рентгенолог с применением слепого метода. Опыт работы рентгенолога составляет более 10 лет. В работе специалист применял ранее описанный метод. Каждое измерение повторялось трижды одним и тем же рентгенологом для повышения повторяемости результатов. Надежность внутриклассового коэффициента корреляции (ICC) была высокой (&gt; 0.8, 95 % CI)</w:t>
      </w:r>
      <w:r w:rsidR="009F1F10">
        <w:t>.</w:t>
      </w:r>
    </w:p>
    <w:p w:rsidR="00C67DE9" w:rsidRDefault="00C67DE9" w:rsidP="000E13A2">
      <w:pPr>
        <w:spacing w:after="0"/>
        <w:contextualSpacing/>
        <w:jc w:val="both"/>
      </w:pPr>
    </w:p>
    <w:p w:rsidR="00190B33" w:rsidRDefault="00190B33" w:rsidP="00190B33">
      <w:pPr>
        <w:spacing w:after="0"/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7556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33" w:rsidRDefault="00190B33" w:rsidP="00190B33">
      <w:pPr>
        <w:spacing w:after="0"/>
        <w:contextualSpacing/>
        <w:jc w:val="center"/>
      </w:pPr>
    </w:p>
    <w:p w:rsidR="00190B33" w:rsidRDefault="00190B33" w:rsidP="00190B33">
      <w:pPr>
        <w:spacing w:after="0"/>
        <w:contextualSpacing/>
        <w:jc w:val="center"/>
      </w:pPr>
      <w:r w:rsidRPr="00190B33">
        <w:rPr>
          <w:b/>
        </w:rPr>
        <w:t>Рисунок 2</w:t>
      </w:r>
      <w:r w:rsidRPr="00190B33">
        <w:t>. Площадь центрального канала в аксиальной проекции МРТ поясничного отдела позвоночника.</w:t>
      </w:r>
    </w:p>
    <w:p w:rsidR="00190B33" w:rsidRDefault="00190B33" w:rsidP="00580792">
      <w:pPr>
        <w:spacing w:after="0"/>
        <w:contextualSpacing/>
        <w:jc w:val="both"/>
      </w:pPr>
    </w:p>
    <w:p w:rsidR="00190B33" w:rsidRDefault="00580792" w:rsidP="00580792">
      <w:pPr>
        <w:spacing w:after="0"/>
        <w:contextualSpacing/>
        <w:jc w:val="both"/>
      </w:pPr>
      <w:r w:rsidRPr="00580792">
        <w:t>Оценка боли (VAS), функции (ODI) и морфологии (рентгенография и МРТ поясничного отдела позвоночника) проводились за двое суток до первого сеанса и после последнего сеанса</w:t>
      </w:r>
      <w:r>
        <w:t>.</w:t>
      </w:r>
    </w:p>
    <w:p w:rsidR="00862B18" w:rsidRDefault="00862B18" w:rsidP="00580792">
      <w:pPr>
        <w:spacing w:after="0"/>
        <w:contextualSpacing/>
        <w:jc w:val="both"/>
      </w:pPr>
    </w:p>
    <w:p w:rsidR="00862B18" w:rsidRPr="00862B18" w:rsidRDefault="00862B18" w:rsidP="00862B18">
      <w:pPr>
        <w:spacing w:after="0"/>
        <w:contextualSpacing/>
        <w:jc w:val="both"/>
        <w:rPr>
          <w:i/>
        </w:rPr>
      </w:pPr>
      <w:r w:rsidRPr="00862B18">
        <w:rPr>
          <w:i/>
        </w:rPr>
        <w:t>2.5. Статистический анализ: определение размера выборки</w:t>
      </w:r>
    </w:p>
    <w:p w:rsidR="00862B18" w:rsidRDefault="00FF3702" w:rsidP="00580792">
      <w:pPr>
        <w:spacing w:after="0"/>
        <w:contextualSpacing/>
        <w:jc w:val="both"/>
      </w:pPr>
      <w:r w:rsidRPr="00FF3702">
        <w:t>Анализ размера выборки показал, что для получения двусторонней значимости на уровне 0,05 и коэффициента межклассовой корреляции 0,8 требовалось не менее 40 участников. Таким образом, в исследование было включено 40 пациентов, учитывая потенциальную потерю для последующего наблюдения (</w:t>
      </w:r>
      <w:proofErr w:type="spellStart"/>
      <w:r w:rsidRPr="00FF3702">
        <w:t>loss</w:t>
      </w:r>
      <w:proofErr w:type="spellEnd"/>
      <w:r w:rsidRPr="00FF3702">
        <w:t xml:space="preserve"> </w:t>
      </w:r>
      <w:proofErr w:type="spellStart"/>
      <w:r w:rsidRPr="00FF3702">
        <w:t>to</w:t>
      </w:r>
      <w:proofErr w:type="spellEnd"/>
      <w:r w:rsidRPr="00FF3702">
        <w:t xml:space="preserve"> </w:t>
      </w:r>
      <w:proofErr w:type="spellStart"/>
      <w:r w:rsidRPr="00FF3702">
        <w:t>follow-up</w:t>
      </w:r>
      <w:proofErr w:type="spellEnd"/>
      <w:r w:rsidRPr="00FF3702">
        <w:t xml:space="preserve">). Данные были проанализированы с использованием парных и независимых t-критериев. Уровень значимости был установлен на уровне p &lt;0,05. Все анализы были выполнены с использованием программного обеспечения SPSS v.22.0 (IBM </w:t>
      </w:r>
      <w:proofErr w:type="spellStart"/>
      <w:r w:rsidRPr="00FF3702">
        <w:t>Corp</w:t>
      </w:r>
      <w:proofErr w:type="spellEnd"/>
      <w:r w:rsidRPr="00FF3702">
        <w:t xml:space="preserve">., </w:t>
      </w:r>
      <w:proofErr w:type="spellStart"/>
      <w:r w:rsidRPr="00FF3702">
        <w:t>Armonk</w:t>
      </w:r>
      <w:proofErr w:type="spellEnd"/>
      <w:r w:rsidRPr="00FF3702">
        <w:t>, Нью-Йорк, США)</w:t>
      </w:r>
      <w:r>
        <w:t>.</w:t>
      </w:r>
    </w:p>
    <w:p w:rsidR="00C55BC6" w:rsidRDefault="00C55BC6" w:rsidP="00580792">
      <w:pPr>
        <w:spacing w:after="0"/>
        <w:contextualSpacing/>
        <w:jc w:val="both"/>
      </w:pPr>
    </w:p>
    <w:p w:rsidR="00C55BC6" w:rsidRPr="009040E8" w:rsidRDefault="00C55BC6" w:rsidP="00C55BC6">
      <w:pPr>
        <w:spacing w:after="0"/>
        <w:contextualSpacing/>
        <w:jc w:val="both"/>
        <w:rPr>
          <w:b/>
        </w:rPr>
      </w:pPr>
      <w:r w:rsidRPr="009040E8">
        <w:rPr>
          <w:b/>
        </w:rPr>
        <w:t>3. Результаты</w:t>
      </w:r>
    </w:p>
    <w:p w:rsidR="00C55BC6" w:rsidRDefault="00C55BC6" w:rsidP="00580792">
      <w:pPr>
        <w:spacing w:after="0"/>
        <w:contextualSpacing/>
        <w:jc w:val="both"/>
      </w:pPr>
      <w:r>
        <w:t xml:space="preserve">3.1. </w:t>
      </w:r>
      <w:r w:rsidR="00E745EE">
        <w:t>Демографические</w:t>
      </w:r>
      <w:r>
        <w:t xml:space="preserve"> характеристики</w:t>
      </w:r>
    </w:p>
    <w:p w:rsidR="00E745EE" w:rsidRDefault="00E745EE" w:rsidP="00580792">
      <w:pPr>
        <w:spacing w:after="0"/>
        <w:contextualSpacing/>
        <w:jc w:val="both"/>
      </w:pPr>
      <w:r w:rsidRPr="00E745EE">
        <w:t>Демографические данные пациентов представлены в таблице 1. В группу L-LCCT вошли 11 женщин и 9 мужчин, средний возраст составил 43,6 ± 15,1 года. В группу TT вошли 12 женщин и 8 мужчин, средний возраст составил 48,0 ± 14,6 года. Между двумя группами не было значительных различий с точки зрения пола, возраста, роста, веса, ИМТ, продолжительности поясничной боли, исходной VAS, показателя ODI, показателя RM или площади центрального канала поясницы (p&gt; 0,05). Все пациенты завершили полный пятинедельный период исследования (всего</w:t>
      </w:r>
      <w:r w:rsidR="00943CF8">
        <w:t xml:space="preserve"> </w:t>
      </w:r>
      <w:r w:rsidRPr="00E745EE">
        <w:t xml:space="preserve">15 сеансов </w:t>
      </w:r>
      <w:proofErr w:type="spellStart"/>
      <w:r w:rsidRPr="00E745EE">
        <w:t>тракци</w:t>
      </w:r>
      <w:r w:rsidR="00943CF8">
        <w:t>и</w:t>
      </w:r>
      <w:proofErr w:type="spellEnd"/>
      <w:r w:rsidRPr="00E745EE">
        <w:t>).</w:t>
      </w:r>
    </w:p>
    <w:p w:rsidR="0024753B" w:rsidRDefault="0024753B" w:rsidP="00580792">
      <w:pPr>
        <w:spacing w:after="0"/>
        <w:contextualSpacing/>
        <w:jc w:val="both"/>
      </w:pPr>
    </w:p>
    <w:p w:rsidR="0024753B" w:rsidRDefault="0024753B" w:rsidP="0024753B">
      <w:pPr>
        <w:spacing w:after="0"/>
        <w:contextualSpacing/>
        <w:jc w:val="center"/>
      </w:pPr>
      <w:r w:rsidRPr="001A78C9">
        <w:rPr>
          <w:b/>
        </w:rPr>
        <w:t>Таблица 1</w:t>
      </w:r>
      <w:r w:rsidRPr="001A78C9">
        <w:t>. Демографические характеристики участников.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357"/>
        <w:gridCol w:w="1410"/>
        <w:gridCol w:w="1217"/>
        <w:gridCol w:w="1172"/>
      </w:tblGrid>
      <w:tr w:rsidR="0024753B" w:rsidRPr="0024753B" w:rsidTr="00AB0F84">
        <w:trPr>
          <w:jc w:val="center"/>
        </w:trPr>
        <w:tc>
          <w:tcPr>
            <w:tcW w:w="0" w:type="auto"/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Переменные</w:t>
            </w:r>
          </w:p>
        </w:tc>
        <w:tc>
          <w:tcPr>
            <w:tcW w:w="1357" w:type="dxa"/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 xml:space="preserve">В целом </w:t>
            </w:r>
          </w:p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(40 чел.)</w:t>
            </w:r>
          </w:p>
        </w:tc>
        <w:tc>
          <w:tcPr>
            <w:tcW w:w="0" w:type="auto"/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Группа C-LCCT</w:t>
            </w:r>
          </w:p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(20 чел.)</w:t>
            </w:r>
          </w:p>
        </w:tc>
        <w:tc>
          <w:tcPr>
            <w:tcW w:w="0" w:type="auto"/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Группа TT</w:t>
            </w:r>
          </w:p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(20 чел.)</w:t>
            </w:r>
          </w:p>
        </w:tc>
        <w:tc>
          <w:tcPr>
            <w:tcW w:w="0" w:type="auto"/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p Значение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Возраст, лет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45.8 ± 14.7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43.6 ± 15.1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48.0 ± 14.6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0.837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Рост, см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165.2 ± 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164.6 ± 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165.7 ± 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0.187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Вес, кг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62.8 ± 11.3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62.8 ± 12.2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62.9 ± 10.8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0.471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Индекс массы тела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22.9 ± 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23.0 ± 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22.8 ± 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0.954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Продолжительность боли в пояснице, мес.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15.5 ± 13.4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12.0 ± 12.1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19.0 ± 14.0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AB0F84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0.226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4753B">
              <w:rPr>
                <w:sz w:val="20"/>
                <w:szCs w:val="20"/>
              </w:rPr>
              <w:t xml:space="preserve">Исходная </w:t>
            </w:r>
            <w:r w:rsidRPr="0024753B">
              <w:rPr>
                <w:sz w:val="20"/>
                <w:szCs w:val="20"/>
                <w:lang w:val="en-US"/>
              </w:rPr>
              <w:t>VAS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6.4 ± 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6.3 ± 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6.5 ± 1.4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0.605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 xml:space="preserve">Исходный </w:t>
            </w:r>
            <w:r w:rsidRPr="0024753B">
              <w:rPr>
                <w:sz w:val="20"/>
                <w:szCs w:val="20"/>
                <w:lang w:val="en-US"/>
              </w:rPr>
              <w:t>ODI</w:t>
            </w:r>
            <w:r w:rsidRPr="0024753B">
              <w:rPr>
                <w:sz w:val="20"/>
                <w:szCs w:val="20"/>
              </w:rPr>
              <w:t>, %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29.2 ± 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30.7 ± 15.4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27.5 ± 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0.547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4753B">
              <w:rPr>
                <w:sz w:val="20"/>
                <w:szCs w:val="20"/>
              </w:rPr>
              <w:t xml:space="preserve">Исходный </w:t>
            </w:r>
            <w:r w:rsidRPr="0024753B">
              <w:rPr>
                <w:sz w:val="20"/>
                <w:szCs w:val="20"/>
                <w:lang w:val="en-US"/>
              </w:rPr>
              <w:t>RM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6.0 ± 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6.3 ± 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5.6 ± 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0.670</w:t>
            </w:r>
          </w:p>
        </w:tc>
      </w:tr>
      <w:tr w:rsidR="0024753B" w:rsidRPr="0024753B" w:rsidTr="00AB0F84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Исходная площадь центрального канала, мм</w:t>
            </w:r>
            <w:r w:rsidRPr="0024753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131.1 ± 48.6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130.2 ± 49.9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131.9 ± 48.8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4753B" w:rsidRPr="0024753B" w:rsidRDefault="0024753B" w:rsidP="0024753B">
            <w:pPr>
              <w:contextualSpacing/>
              <w:jc w:val="center"/>
              <w:rPr>
                <w:sz w:val="20"/>
                <w:szCs w:val="20"/>
              </w:rPr>
            </w:pPr>
            <w:r w:rsidRPr="0024753B">
              <w:rPr>
                <w:sz w:val="20"/>
                <w:szCs w:val="20"/>
              </w:rPr>
              <w:t>0.986</w:t>
            </w:r>
          </w:p>
        </w:tc>
      </w:tr>
    </w:tbl>
    <w:p w:rsidR="0024753B" w:rsidRDefault="003B3C82" w:rsidP="003B3C82">
      <w:pPr>
        <w:spacing w:after="0"/>
        <w:contextualSpacing/>
        <w:jc w:val="center"/>
        <w:rPr>
          <w:sz w:val="18"/>
          <w:szCs w:val="18"/>
        </w:rPr>
      </w:pPr>
      <w:r w:rsidRPr="003B3C82">
        <w:rPr>
          <w:sz w:val="18"/>
          <w:szCs w:val="18"/>
        </w:rPr>
        <w:t xml:space="preserve">Все значения представляют собой среднее ± стандартное отклонение. ИМТ: индекс массы тела; VAS: визуальная аналоговая шкала (0 = нет боли; 10 = самая сильная боль); ODI: индекс инвалидности Освестри (0 = нет инвалидности; 100 = максимально возможная инвалидность); RM: Анкета Роланда – Морриса (от 0 до 24; более высокие баллы </w:t>
      </w:r>
      <w:r w:rsidRPr="003B3C82">
        <w:rPr>
          <w:sz w:val="18"/>
          <w:szCs w:val="18"/>
        </w:rPr>
        <w:lastRenderedPageBreak/>
        <w:t>соответствуют более высокому уровню инвалидности, вызванной болью). L-LCCT: устройство для вытяжения (</w:t>
      </w:r>
      <w:proofErr w:type="spellStart"/>
      <w:r w:rsidRPr="003B3C82">
        <w:rPr>
          <w:sz w:val="18"/>
          <w:szCs w:val="18"/>
        </w:rPr>
        <w:t>тракции</w:t>
      </w:r>
      <w:proofErr w:type="spellEnd"/>
      <w:r w:rsidRPr="003B3C82">
        <w:rPr>
          <w:sz w:val="18"/>
          <w:szCs w:val="18"/>
        </w:rPr>
        <w:t xml:space="preserve">) с контролем </w:t>
      </w:r>
      <w:proofErr w:type="spellStart"/>
      <w:r w:rsidRPr="003B3C82">
        <w:rPr>
          <w:sz w:val="18"/>
          <w:szCs w:val="18"/>
        </w:rPr>
        <w:t>лортодического</w:t>
      </w:r>
      <w:proofErr w:type="spellEnd"/>
      <w:r w:rsidRPr="003B3C82">
        <w:rPr>
          <w:sz w:val="18"/>
          <w:szCs w:val="18"/>
        </w:rPr>
        <w:t xml:space="preserve"> изгиба; TT: традиционная </w:t>
      </w:r>
      <w:proofErr w:type="spellStart"/>
      <w:r w:rsidRPr="003B3C82">
        <w:rPr>
          <w:sz w:val="18"/>
          <w:szCs w:val="18"/>
        </w:rPr>
        <w:t>тракция</w:t>
      </w:r>
      <w:proofErr w:type="spellEnd"/>
      <w:r w:rsidRPr="003B3C82">
        <w:rPr>
          <w:sz w:val="18"/>
          <w:szCs w:val="18"/>
        </w:rPr>
        <w:t>.</w:t>
      </w:r>
    </w:p>
    <w:p w:rsidR="00A71944" w:rsidRDefault="00A71944" w:rsidP="003B3C82">
      <w:pPr>
        <w:spacing w:after="0"/>
        <w:contextualSpacing/>
        <w:jc w:val="center"/>
        <w:rPr>
          <w:sz w:val="18"/>
          <w:szCs w:val="18"/>
        </w:rPr>
      </w:pPr>
    </w:p>
    <w:p w:rsidR="00A71944" w:rsidRDefault="00A71944" w:rsidP="00A71944">
      <w:pPr>
        <w:spacing w:after="0"/>
        <w:contextualSpacing/>
        <w:rPr>
          <w:i/>
        </w:rPr>
      </w:pPr>
      <w:r w:rsidRPr="00A71944">
        <w:rPr>
          <w:i/>
        </w:rPr>
        <w:t>3.2. Боль, функциональное состояние и морфологические изменения</w:t>
      </w:r>
    </w:p>
    <w:p w:rsidR="00A71944" w:rsidRDefault="001577A1" w:rsidP="001577A1">
      <w:pPr>
        <w:spacing w:after="0"/>
        <w:contextualSpacing/>
        <w:jc w:val="both"/>
      </w:pPr>
      <w:r w:rsidRPr="001577A1">
        <w:t xml:space="preserve">Боль, функциональное состояние и морфологические изменения у пациентов представлены в таблице 2. Пациенты из группы L-LCCT показали лучшие результаты по сравнению с группой TT с точки зрения измерений боли и функционального состояния. Результаты исследования показали значительное уменьшение боли по VAS в обеих группах после лечения. Однако изменения ODI и RM были значительно </w:t>
      </w:r>
      <w:r w:rsidR="00B82ADD" w:rsidRPr="001577A1">
        <w:t>выше</w:t>
      </w:r>
      <w:r w:rsidRPr="001577A1">
        <w:t xml:space="preserve"> у пациентов в группе L-LCCT, а в группе ТТ значительные изменения ODI и RM не наблюдались. Изменение площади центрального канала на основании МРТ поясничного отдела позвоночника также было значительно выше у пациентов из группы L-LCCT (p &lt;0,05), в то время</w:t>
      </w:r>
      <w:r w:rsidR="00B82ADD">
        <w:t xml:space="preserve"> как</w:t>
      </w:r>
      <w:r w:rsidRPr="001577A1">
        <w:t xml:space="preserve"> пациенты из группы ТТ не показали значительных изменений площади центрального канала после лечения (p&gt; 0,05).</w:t>
      </w:r>
    </w:p>
    <w:p w:rsidR="00A37BC9" w:rsidRPr="00A37BC9" w:rsidRDefault="00A37BC9" w:rsidP="001577A1">
      <w:pPr>
        <w:spacing w:after="0"/>
        <w:contextualSpacing/>
        <w:jc w:val="both"/>
        <w:rPr>
          <w:b/>
        </w:rPr>
      </w:pPr>
    </w:p>
    <w:p w:rsidR="00A37BC9" w:rsidRDefault="00A37BC9" w:rsidP="00A37BC9">
      <w:pPr>
        <w:spacing w:after="0"/>
        <w:contextualSpacing/>
        <w:jc w:val="center"/>
      </w:pPr>
      <w:r w:rsidRPr="00A37BC9">
        <w:rPr>
          <w:b/>
        </w:rPr>
        <w:t>Таблица 2</w:t>
      </w:r>
      <w:r w:rsidRPr="00A37BC9">
        <w:t>. Измерения боли, функциональные и морфологические измерения в группе L-LCCT по сравнению с группой TT.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317"/>
        <w:gridCol w:w="1609"/>
        <w:gridCol w:w="1172"/>
      </w:tblGrid>
      <w:tr w:rsidR="00CC4047" w:rsidTr="00AB0F84">
        <w:trPr>
          <w:jc w:val="center"/>
        </w:trPr>
        <w:tc>
          <w:tcPr>
            <w:tcW w:w="0" w:type="auto"/>
          </w:tcPr>
          <w:p w:rsidR="00CC4047" w:rsidRDefault="00CC4047" w:rsidP="00AB0F84">
            <w:pPr>
              <w:contextualSpacing/>
              <w:jc w:val="center"/>
            </w:pPr>
            <w:r>
              <w:t>Переменные</w:t>
            </w:r>
          </w:p>
        </w:tc>
        <w:tc>
          <w:tcPr>
            <w:tcW w:w="0" w:type="auto"/>
          </w:tcPr>
          <w:p w:rsidR="00CC4047" w:rsidRDefault="00CC4047" w:rsidP="00AB0F84">
            <w:pPr>
              <w:contextualSpacing/>
              <w:jc w:val="center"/>
            </w:pPr>
            <w:r>
              <w:t>До лечения</w:t>
            </w:r>
          </w:p>
        </w:tc>
        <w:tc>
          <w:tcPr>
            <w:tcW w:w="0" w:type="auto"/>
          </w:tcPr>
          <w:p w:rsidR="00CC4047" w:rsidRDefault="00CC4047" w:rsidP="00AB0F84">
            <w:pPr>
              <w:contextualSpacing/>
              <w:jc w:val="center"/>
            </w:pPr>
            <w:r>
              <w:t>После лечения</w:t>
            </w:r>
          </w:p>
        </w:tc>
        <w:tc>
          <w:tcPr>
            <w:tcW w:w="0" w:type="auto"/>
          </w:tcPr>
          <w:p w:rsidR="00CC4047" w:rsidRDefault="00CC4047" w:rsidP="00AB0F84">
            <w:pPr>
              <w:contextualSpacing/>
              <w:jc w:val="center"/>
            </w:pPr>
            <w:r w:rsidRPr="0096250D">
              <w:rPr>
                <w:sz w:val="20"/>
                <w:szCs w:val="20"/>
              </w:rPr>
              <w:t>p Значение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C4047" w:rsidRPr="003F48BF" w:rsidRDefault="00CC4047" w:rsidP="00AB0F84">
            <w:pPr>
              <w:contextualSpacing/>
            </w:pPr>
            <w:r>
              <w:rPr>
                <w:lang w:val="en-US"/>
              </w:rPr>
              <w:t>A</w:t>
            </w:r>
            <w:r>
              <w:t>. Группа C-LCCT</w:t>
            </w:r>
          </w:p>
        </w:tc>
        <w:tc>
          <w:tcPr>
            <w:tcW w:w="0" w:type="auto"/>
            <w:tcBorders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VAS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6.3 ± 1.1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3.1 ± 0.8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&lt;0.001 *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ODI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30.7 ± 15.4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20.8 ± 11.6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&lt;0.004 *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4047" w:rsidRPr="00CC4047" w:rsidRDefault="00CC4047" w:rsidP="00AB0F84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6.3 ± 3.6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3.7 ± 2.4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&lt;0.001 *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Площадь центрального канала, мм</w:t>
            </w:r>
            <w:r w:rsidRPr="00CC4047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130.2 ± 49.9</w:t>
            </w:r>
          </w:p>
        </w:tc>
        <w:tc>
          <w:tcPr>
            <w:tcW w:w="0" w:type="auto"/>
            <w:tcBorders>
              <w:top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136.2 ± 49.9</w:t>
            </w:r>
          </w:p>
        </w:tc>
        <w:tc>
          <w:tcPr>
            <w:tcW w:w="0" w:type="auto"/>
            <w:tcBorders>
              <w:top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&lt;0.001 *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C4047" w:rsidRPr="003F48BF" w:rsidRDefault="00CC4047" w:rsidP="00AB0F84">
            <w:pPr>
              <w:contextualSpacing/>
            </w:pPr>
            <w:r>
              <w:t>В. Группа ТТ</w:t>
            </w:r>
          </w:p>
        </w:tc>
        <w:tc>
          <w:tcPr>
            <w:tcW w:w="0" w:type="auto"/>
            <w:tcBorders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VAS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6.5 ± 1.4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4.1 ± 1.6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AB0F84">
            <w:pPr>
              <w:contextualSpacing/>
              <w:jc w:val="center"/>
            </w:pPr>
            <w:r>
              <w:t>&lt;0.001 *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ODI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27.5 ± 9.5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25.5 ± 11.6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0.331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4047" w:rsidRPr="00CC4047" w:rsidRDefault="00CC4047" w:rsidP="00CC404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5.6 ± 3.7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5.0 ± 4.3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0.305</w:t>
            </w:r>
          </w:p>
        </w:tc>
      </w:tr>
      <w:tr w:rsidR="00CC4047" w:rsidTr="00AB0F84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Площадь центрального канала, мм</w:t>
            </w:r>
            <w:r w:rsidRPr="00CC4047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131.9 ± 48.8</w:t>
            </w:r>
          </w:p>
        </w:tc>
        <w:tc>
          <w:tcPr>
            <w:tcW w:w="0" w:type="auto"/>
            <w:tcBorders>
              <w:top w:val="nil"/>
            </w:tcBorders>
          </w:tcPr>
          <w:p w:rsidR="00CC4047" w:rsidRDefault="00CC4047" w:rsidP="00CC4047">
            <w:pPr>
              <w:contextualSpacing/>
              <w:jc w:val="center"/>
            </w:pPr>
            <w:r>
              <w:t>132.0 ± 48.5</w:t>
            </w:r>
          </w:p>
        </w:tc>
        <w:tc>
          <w:tcPr>
            <w:tcW w:w="0" w:type="auto"/>
            <w:tcBorders>
              <w:top w:val="nil"/>
            </w:tcBorders>
          </w:tcPr>
          <w:p w:rsidR="00CC4047" w:rsidRPr="00855E20" w:rsidRDefault="00CC4047" w:rsidP="00CC4047">
            <w:pPr>
              <w:contextualSpacing/>
              <w:jc w:val="center"/>
              <w:rPr>
                <w:lang w:val="en-US"/>
              </w:rPr>
            </w:pPr>
            <w:r>
              <w:t>0.988</w:t>
            </w:r>
          </w:p>
        </w:tc>
      </w:tr>
    </w:tbl>
    <w:p w:rsidR="00377108" w:rsidRDefault="00377108" w:rsidP="00377108">
      <w:pPr>
        <w:spacing w:after="0"/>
        <w:contextualSpacing/>
        <w:jc w:val="center"/>
        <w:rPr>
          <w:sz w:val="18"/>
          <w:szCs w:val="18"/>
        </w:rPr>
      </w:pPr>
      <w:r w:rsidRPr="003B3C82">
        <w:rPr>
          <w:sz w:val="18"/>
          <w:szCs w:val="18"/>
        </w:rPr>
        <w:t xml:space="preserve">Все значения представляют собой среднее ± стандартное отклонение. VAS: визуальная аналоговая шкала (0 = нет боли; 10 = самая сильная боль); ODI: индекс инвалидности Освестри (0 = нет инвалидности; 100 = максимально возможная инвалидность); RM: Анкета Роланда – Морриса (от 0 до 24; более высокие баллы соответствуют более высокому уровню инвалидности, вызванной болью). </w:t>
      </w:r>
      <w:r w:rsidRPr="00377108">
        <w:rPr>
          <w:sz w:val="18"/>
          <w:szCs w:val="18"/>
        </w:rPr>
        <w:t>* p &lt; 0.05</w:t>
      </w:r>
    </w:p>
    <w:p w:rsidR="004E55E8" w:rsidRDefault="004E55E8" w:rsidP="00377108">
      <w:pPr>
        <w:spacing w:after="0"/>
        <w:contextualSpacing/>
        <w:jc w:val="center"/>
        <w:rPr>
          <w:sz w:val="18"/>
          <w:szCs w:val="18"/>
        </w:rPr>
      </w:pPr>
    </w:p>
    <w:p w:rsidR="004E55E8" w:rsidRDefault="00FA1E2B" w:rsidP="00FA1E2B">
      <w:pPr>
        <w:spacing w:after="0"/>
        <w:contextualSpacing/>
        <w:jc w:val="both"/>
      </w:pPr>
      <w:r w:rsidRPr="00FA1E2B">
        <w:t>Обе группы показали значительное снижение оценок боли. Однако изменения функциональных баллов и изменение площади центрального канала было значительно выше у пациентов из группы L-LCCT, чем из группы TT</w:t>
      </w:r>
      <w:r w:rsidR="001024D8">
        <w:t xml:space="preserve"> </w:t>
      </w:r>
      <w:r w:rsidRPr="00FA1E2B">
        <w:t>(Таблица 3)</w:t>
      </w:r>
      <w:r w:rsidR="001024D8">
        <w:t>.</w:t>
      </w:r>
    </w:p>
    <w:p w:rsidR="001024D8" w:rsidRDefault="001024D8" w:rsidP="00FA1E2B">
      <w:pPr>
        <w:spacing w:after="0"/>
        <w:contextualSpacing/>
        <w:jc w:val="both"/>
      </w:pPr>
    </w:p>
    <w:p w:rsidR="001024D8" w:rsidRDefault="001024D8" w:rsidP="001024D8">
      <w:pPr>
        <w:spacing w:after="0"/>
        <w:contextualSpacing/>
        <w:jc w:val="center"/>
      </w:pPr>
      <w:r w:rsidRPr="001024D8">
        <w:rPr>
          <w:b/>
        </w:rPr>
        <w:t>Таблица 3</w:t>
      </w:r>
      <w:r w:rsidRPr="001024D8">
        <w:t xml:space="preserve">. Сравнение изменений </w:t>
      </w:r>
      <w:r>
        <w:t>у пациентов групп</w:t>
      </w:r>
      <w:r w:rsidRPr="001024D8">
        <w:t xml:space="preserve"> L-LCCT и TT.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092"/>
        <w:gridCol w:w="1092"/>
        <w:gridCol w:w="743"/>
        <w:gridCol w:w="1172"/>
      </w:tblGrid>
      <w:tr w:rsidR="00E50B3B" w:rsidTr="00E50B3B">
        <w:trPr>
          <w:jc w:val="center"/>
        </w:trPr>
        <w:tc>
          <w:tcPr>
            <w:tcW w:w="0" w:type="auto"/>
          </w:tcPr>
          <w:p w:rsidR="00E50B3B" w:rsidRDefault="00E50B3B" w:rsidP="00E50B3B">
            <w:pPr>
              <w:contextualSpacing/>
              <w:jc w:val="center"/>
            </w:pPr>
            <w:r>
              <w:t>Переменные</w:t>
            </w:r>
          </w:p>
        </w:tc>
        <w:tc>
          <w:tcPr>
            <w:tcW w:w="0" w:type="auto"/>
          </w:tcPr>
          <w:p w:rsidR="00E50B3B" w:rsidRDefault="00E50B3B" w:rsidP="00E50B3B">
            <w:pPr>
              <w:contextualSpacing/>
              <w:jc w:val="center"/>
            </w:pPr>
            <w:r>
              <w:t>C-LCCT</w:t>
            </w:r>
          </w:p>
        </w:tc>
        <w:tc>
          <w:tcPr>
            <w:tcW w:w="0" w:type="auto"/>
          </w:tcPr>
          <w:p w:rsidR="00E50B3B" w:rsidRDefault="00E50B3B" w:rsidP="00E50B3B">
            <w:pPr>
              <w:contextualSpacing/>
              <w:jc w:val="center"/>
            </w:pPr>
            <w:r>
              <w:t>TT</w:t>
            </w:r>
          </w:p>
        </w:tc>
        <w:tc>
          <w:tcPr>
            <w:tcW w:w="743" w:type="dxa"/>
          </w:tcPr>
          <w:p w:rsidR="00E50B3B" w:rsidRPr="0096250D" w:rsidRDefault="00E50B3B" w:rsidP="00E50B3B">
            <w:pPr>
              <w:contextualSpacing/>
              <w:jc w:val="center"/>
              <w:rPr>
                <w:sz w:val="20"/>
                <w:szCs w:val="20"/>
              </w:rPr>
            </w:pPr>
            <w:r>
              <w:t>T</w:t>
            </w:r>
          </w:p>
        </w:tc>
        <w:tc>
          <w:tcPr>
            <w:tcW w:w="0" w:type="auto"/>
          </w:tcPr>
          <w:p w:rsidR="00E50B3B" w:rsidRDefault="00E50B3B" w:rsidP="00E50B3B">
            <w:pPr>
              <w:contextualSpacing/>
              <w:jc w:val="center"/>
            </w:pPr>
            <w:r w:rsidRPr="0096250D">
              <w:rPr>
                <w:sz w:val="20"/>
                <w:szCs w:val="20"/>
              </w:rPr>
              <w:t>p Значение</w:t>
            </w:r>
          </w:p>
        </w:tc>
      </w:tr>
      <w:tr w:rsidR="00E50B3B" w:rsidTr="00E50B3B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E50B3B" w:rsidRDefault="00E50B3B" w:rsidP="00E50B3B">
            <w:pPr>
              <w:contextualSpacing/>
              <w:jc w:val="center"/>
            </w:pPr>
            <w:r>
              <w:t>VAS</w:t>
            </w:r>
          </w:p>
        </w:tc>
        <w:tc>
          <w:tcPr>
            <w:tcW w:w="0" w:type="auto"/>
            <w:tcBorders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−3.1 ± 1.3</w:t>
            </w:r>
          </w:p>
        </w:tc>
        <w:tc>
          <w:tcPr>
            <w:tcW w:w="0" w:type="auto"/>
            <w:tcBorders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−2.4 ± 1.3</w:t>
            </w:r>
          </w:p>
        </w:tc>
        <w:tc>
          <w:tcPr>
            <w:tcW w:w="743" w:type="dxa"/>
            <w:tcBorders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−1.6</w:t>
            </w:r>
          </w:p>
        </w:tc>
        <w:tc>
          <w:tcPr>
            <w:tcW w:w="0" w:type="auto"/>
            <w:tcBorders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0.121</w:t>
            </w:r>
          </w:p>
        </w:tc>
      </w:tr>
      <w:tr w:rsidR="00E50B3B" w:rsidTr="00E50B3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E50B3B" w:rsidRDefault="00E50B3B" w:rsidP="00E50B3B">
            <w:pPr>
              <w:contextualSpacing/>
              <w:jc w:val="center"/>
            </w:pPr>
            <w:r>
              <w:t>ODI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−7.9 ± 7.6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−2.0 ± 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−2.6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 xml:space="preserve"> &lt;0.05 *</w:t>
            </w:r>
          </w:p>
        </w:tc>
      </w:tr>
      <w:tr w:rsidR="00E50B3B" w:rsidTr="00E50B3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E50B3B" w:rsidRPr="00CC4047" w:rsidRDefault="00E50B3B" w:rsidP="00E50B3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−2.0 ± 1.5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−0.6 ± 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−2.4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&lt;0.05 *</w:t>
            </w:r>
          </w:p>
        </w:tc>
      </w:tr>
      <w:tr w:rsidR="00E50B3B" w:rsidTr="00E50B3B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E50B3B" w:rsidRDefault="00E50B3B" w:rsidP="00E50B3B">
            <w:pPr>
              <w:contextualSpacing/>
              <w:jc w:val="center"/>
            </w:pPr>
            <w:r>
              <w:t>Площадь центрального канала, мм</w:t>
            </w:r>
            <w:r w:rsidRPr="00CC4047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6.0 ± 4.8</w:t>
            </w:r>
          </w:p>
        </w:tc>
        <w:tc>
          <w:tcPr>
            <w:tcW w:w="0" w:type="auto"/>
            <w:tcBorders>
              <w:top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0.0 ± 6.3</w:t>
            </w:r>
          </w:p>
        </w:tc>
        <w:tc>
          <w:tcPr>
            <w:tcW w:w="743" w:type="dxa"/>
            <w:tcBorders>
              <w:top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−3.0</w:t>
            </w:r>
          </w:p>
        </w:tc>
        <w:tc>
          <w:tcPr>
            <w:tcW w:w="0" w:type="auto"/>
            <w:tcBorders>
              <w:top w:val="nil"/>
            </w:tcBorders>
          </w:tcPr>
          <w:p w:rsidR="00E50B3B" w:rsidRDefault="009D307B" w:rsidP="00E50B3B">
            <w:pPr>
              <w:contextualSpacing/>
              <w:jc w:val="center"/>
            </w:pPr>
            <w:r>
              <w:t>&lt;0.05 *</w:t>
            </w:r>
          </w:p>
        </w:tc>
      </w:tr>
    </w:tbl>
    <w:p w:rsidR="001024D8" w:rsidRDefault="001024D8" w:rsidP="001024D8">
      <w:pPr>
        <w:spacing w:after="0"/>
        <w:contextualSpacing/>
        <w:jc w:val="center"/>
        <w:rPr>
          <w:sz w:val="18"/>
          <w:szCs w:val="18"/>
        </w:rPr>
      </w:pPr>
      <w:r w:rsidRPr="00855E20">
        <w:rPr>
          <w:sz w:val="18"/>
          <w:szCs w:val="18"/>
        </w:rPr>
        <w:t>* р &lt;0,05</w:t>
      </w:r>
    </w:p>
    <w:p w:rsidR="001024D8" w:rsidRPr="004E55E8" w:rsidRDefault="001024D8" w:rsidP="00FA1E2B">
      <w:pPr>
        <w:spacing w:after="0"/>
        <w:contextualSpacing/>
        <w:jc w:val="both"/>
      </w:pPr>
    </w:p>
    <w:p w:rsidR="00E9710A" w:rsidRPr="007238BE" w:rsidRDefault="00E9710A" w:rsidP="00E9710A">
      <w:pPr>
        <w:spacing w:after="0"/>
        <w:contextualSpacing/>
        <w:jc w:val="both"/>
        <w:rPr>
          <w:b/>
        </w:rPr>
      </w:pPr>
      <w:r w:rsidRPr="007238BE">
        <w:rPr>
          <w:b/>
        </w:rPr>
        <w:t>4. Обсуждения</w:t>
      </w:r>
    </w:p>
    <w:p w:rsidR="00CC4047" w:rsidRDefault="00084012" w:rsidP="001D0345">
      <w:pPr>
        <w:spacing w:after="0"/>
        <w:contextualSpacing/>
        <w:jc w:val="both"/>
      </w:pPr>
      <w:r w:rsidRPr="00084012">
        <w:t>Длительные периоды боли, вызванной болезнью межпозвонкового диска, имеют аномальные неврологические механизмы [</w:t>
      </w:r>
      <w:r w:rsidRPr="00254F01">
        <w:rPr>
          <w:color w:val="2E74B5" w:themeColor="accent5" w:themeShade="BF"/>
        </w:rPr>
        <w:t>23</w:t>
      </w:r>
      <w:r w:rsidRPr="00084012">
        <w:t xml:space="preserve">]. Такие изменения неврологического механизма у пациентов с заболеваниями межпозвонковых дисков, могут заставить пациентов совершать ненормальные движения. Помимо неврологических отклонений, пациенты с грыжей межпозвонкового диска поясничного отдела позвоночника также показывают асимметрию и атрофию спинных мышц с </w:t>
      </w:r>
      <w:r w:rsidR="00B82ADD" w:rsidRPr="00084012">
        <w:t>той стороны</w:t>
      </w:r>
      <w:r w:rsidRPr="00084012">
        <w:t xml:space="preserve"> тела, где возникает боль. Глобальные мышечные спазмы и глубокая мышечная слабость также могут приводить к смещению позвонков, что в свою очередь приводит к боли и спайкам. Таким образом, неврологические и костно-мышечные нарушени</w:t>
      </w:r>
      <w:r w:rsidR="00B82ADD">
        <w:t>я могут вызывать боль и мышечную дисфункцию</w:t>
      </w:r>
      <w:r w:rsidRPr="00084012">
        <w:t xml:space="preserve"> у пациентов с хронической грыжей межпозвонкового диска поясничного отдела позвоночника.</w:t>
      </w:r>
    </w:p>
    <w:p w:rsidR="004F1755" w:rsidRDefault="004F1755" w:rsidP="001D0345">
      <w:pPr>
        <w:spacing w:after="0"/>
        <w:contextualSpacing/>
        <w:jc w:val="both"/>
      </w:pPr>
      <w:r w:rsidRPr="004F1755">
        <w:lastRenderedPageBreak/>
        <w:t>Несмотря теоретическое благоприятное влияние</w:t>
      </w:r>
      <w:r w:rsidR="00B82ADD">
        <w:t xml:space="preserve"> метода ТТ</w:t>
      </w:r>
      <w:r w:rsidRPr="004F1755">
        <w:t>,</w:t>
      </w:r>
      <w:r w:rsidR="00B82ADD">
        <w:t xml:space="preserve"> его</w:t>
      </w:r>
      <w:r w:rsidRPr="004F1755">
        <w:t xml:space="preserve"> клиническая польза применения при лечении заболевани</w:t>
      </w:r>
      <w:r w:rsidR="00B82ADD">
        <w:t>я</w:t>
      </w:r>
      <w:r w:rsidRPr="004F1755">
        <w:t xml:space="preserve"> поясничного диска невысока в клинических условиях [</w:t>
      </w:r>
      <w:r w:rsidRPr="00254F01">
        <w:rPr>
          <w:color w:val="2E74B5" w:themeColor="accent5" w:themeShade="BF"/>
        </w:rPr>
        <w:t>24–27</w:t>
      </w:r>
      <w:r w:rsidRPr="004F1755">
        <w:t xml:space="preserve">]. Это может быть связано с различными рекомендациями по лечению и индивидуальным характером этого заболевания, а также с отсутствием хорошо продуманных исследований. Кроме того, технические ограничения, например, изменение </w:t>
      </w:r>
      <w:proofErr w:type="spellStart"/>
      <w:r w:rsidRPr="004F1755">
        <w:t>лордотического</w:t>
      </w:r>
      <w:proofErr w:type="spellEnd"/>
      <w:r w:rsidRPr="004F1755">
        <w:t xml:space="preserve"> изгиба </w:t>
      </w:r>
      <w:proofErr w:type="gramStart"/>
      <w:r w:rsidRPr="004F1755">
        <w:t>во время</w:t>
      </w:r>
      <w:proofErr w:type="gramEnd"/>
      <w:r w:rsidRPr="004F1755">
        <w:t xml:space="preserve"> </w:t>
      </w:r>
      <w:proofErr w:type="spellStart"/>
      <w:r w:rsidRPr="004F1755">
        <w:t>тракции</w:t>
      </w:r>
      <w:proofErr w:type="spellEnd"/>
      <w:r w:rsidRPr="004F1755">
        <w:t xml:space="preserve"> может приводить к необъективности в результатах лечения. Хотя метод ТТ теоретически снижает </w:t>
      </w:r>
      <w:proofErr w:type="spellStart"/>
      <w:r w:rsidRPr="004F1755">
        <w:t>лордотический</w:t>
      </w:r>
      <w:proofErr w:type="spellEnd"/>
      <w:r w:rsidRPr="004F1755">
        <w:t xml:space="preserve"> изгиб в положении лежа на спине, устройство же L-LCCT может снизить давление на межпозвоночный диск, при этом сохраняется естественный </w:t>
      </w:r>
      <w:proofErr w:type="spellStart"/>
      <w:r w:rsidRPr="004F1755">
        <w:t>лордотический</w:t>
      </w:r>
      <w:proofErr w:type="spellEnd"/>
      <w:r w:rsidRPr="004F1755">
        <w:t xml:space="preserve"> изгиб даже в положении лежа на спине. В нашем предыдущем исследовании шейной </w:t>
      </w:r>
      <w:proofErr w:type="spellStart"/>
      <w:r w:rsidRPr="004F1755">
        <w:t>тракции</w:t>
      </w:r>
      <w:proofErr w:type="spellEnd"/>
      <w:r w:rsidRPr="004F1755">
        <w:t xml:space="preserve"> с контролем </w:t>
      </w:r>
      <w:proofErr w:type="spellStart"/>
      <w:r w:rsidRPr="004F1755">
        <w:t>лордотического</w:t>
      </w:r>
      <w:proofErr w:type="spellEnd"/>
      <w:r w:rsidRPr="004F1755">
        <w:t xml:space="preserve"> изгиба (C-LCCT), мы продемонстрировали положительные эффекты LCCT на шейном отделе позвоночника [</w:t>
      </w:r>
      <w:r w:rsidRPr="00254F01">
        <w:rPr>
          <w:color w:val="2E74B5" w:themeColor="accent5" w:themeShade="BF"/>
        </w:rPr>
        <w:t>17</w:t>
      </w:r>
      <w:r w:rsidRPr="004F1755">
        <w:t>]</w:t>
      </w:r>
      <w:r>
        <w:t>.</w:t>
      </w:r>
    </w:p>
    <w:p w:rsidR="003536C2" w:rsidRDefault="003536C2" w:rsidP="001D0345">
      <w:pPr>
        <w:spacing w:after="0"/>
        <w:contextualSpacing/>
        <w:jc w:val="both"/>
      </w:pPr>
      <w:r w:rsidRPr="003536C2">
        <w:t xml:space="preserve">В данном исследовании мы также получили благоприятные, с точки зрения боли, функции и морфологии, результаты у пациентов из группы L-LCCT по сравнению пациентами группы </w:t>
      </w:r>
      <w:r w:rsidR="00647BBF" w:rsidRPr="003536C2">
        <w:t>TT (</w:t>
      </w:r>
      <w:r w:rsidRPr="003536C2">
        <w:t>таблица 2). Обе группы показали значительное снижение оценок боли после лечения. Однако изменения функционального состояния и площади центрального канала поясничного отдела были значительно выше в группе L-LCCT, чем в группе TT.</w:t>
      </w:r>
    </w:p>
    <w:p w:rsidR="00C13F49" w:rsidRDefault="00C13F49" w:rsidP="001D0345">
      <w:pPr>
        <w:spacing w:after="0"/>
        <w:contextualSpacing/>
        <w:jc w:val="both"/>
      </w:pPr>
      <w:r w:rsidRPr="00C13F49">
        <w:t>Помимо оценок боли и функционального состояния, которые могут рассматриваться как субъективные измерения, мы также сравнили морфологические изменения с помощью МРТ поясничного отдела позвоночника. После лечения пациенты из группы L-LCCT показали значительное расширение площади центрального канала. Однако у пациентов из группы ТТ не наблюдалось значительное изменение площади центрального канала после лечения</w:t>
      </w:r>
      <w:r w:rsidR="00254F01">
        <w:t>.</w:t>
      </w:r>
      <w:r w:rsidR="00AF223B">
        <w:t xml:space="preserve"> </w:t>
      </w:r>
      <w:r w:rsidR="00B82ADD">
        <w:t>Э</w:t>
      </w:r>
      <w:r w:rsidR="00AF223B" w:rsidRPr="00AF223B">
        <w:t xml:space="preserve">то может быть связано со способностью метода L-LCCT поддерживать или восстанавливать </w:t>
      </w:r>
      <w:proofErr w:type="spellStart"/>
      <w:r w:rsidR="00AF223B" w:rsidRPr="00AF223B">
        <w:t>лордотическую</w:t>
      </w:r>
      <w:proofErr w:type="spellEnd"/>
      <w:r w:rsidR="00AF223B" w:rsidRPr="00AF223B">
        <w:t xml:space="preserve"> кривую поясницы в</w:t>
      </w:r>
      <w:r w:rsidR="00B82ADD">
        <w:t>о время вытяжения позвоночника. Т</w:t>
      </w:r>
      <w:r w:rsidR="00AF223B" w:rsidRPr="00AF223B">
        <w:t xml:space="preserve">ем самым уменьшается лишнее напряжение мышц и может быть приложена </w:t>
      </w:r>
      <w:proofErr w:type="spellStart"/>
      <w:r w:rsidR="00AF223B" w:rsidRPr="00AF223B">
        <w:t>тракция</w:t>
      </w:r>
      <w:proofErr w:type="spellEnd"/>
      <w:r w:rsidR="00AF223B" w:rsidRPr="00AF223B">
        <w:t xml:space="preserve"> достаточной силы. Однако в этом исследовании есть несколько ограничений. Во-первых, хоть мы и набрали достаточный размер выборки, для обобщения наших результатов потребуется больше участников разного возраста. Поскольку степень заболевания может меняться от человека к человеку, наши результаты необходимо тщательно повторно оценить, прежде чем их можно будет применять в клинической практике</w:t>
      </w:r>
      <w:r w:rsidR="00AF223B">
        <w:t xml:space="preserve">. </w:t>
      </w:r>
      <w:r w:rsidR="00AF223B" w:rsidRPr="00AF223B">
        <w:t>В последующих исследования следует также учитывать возраст, пол, расу и индивидуальные физические особенности. Во-вторых, позвоночные диски могут отличаются по нескольким характеристикам, включая упругость, мягкость или жесткость. В этом исследовании были набраны пациенты с относительно легкой степенью инвалидности и низкими ODI. Различия геометрических особенностей, болевого порога и функциональных показателей также могут привести к различным результатам.</w:t>
      </w:r>
    </w:p>
    <w:p w:rsidR="002C4F1E" w:rsidRDefault="002C4F1E" w:rsidP="002C4F1E">
      <w:pPr>
        <w:spacing w:after="0"/>
        <w:contextualSpacing/>
        <w:jc w:val="both"/>
      </w:pPr>
      <w:r w:rsidRPr="002C4F1E">
        <w:t>В-третьих, несмотря на то, что в данном исследование принимали участие пациенты, испытывавшие заболевание межпозвоночного диска на протяжении не менее 3-х месяцев, в этом исследовании не было контрольной здоровой группы. Поскольку возможно, что заболевание диска могло пройти спонтанно, в последующих исследованиях должна быть предусмотрена контрольная группа с более строгими требованиями.</w:t>
      </w:r>
    </w:p>
    <w:p w:rsidR="007411B8" w:rsidRPr="007411B8" w:rsidRDefault="007411B8" w:rsidP="007411B8">
      <w:pPr>
        <w:spacing w:after="0"/>
        <w:contextualSpacing/>
        <w:jc w:val="both"/>
      </w:pPr>
      <w:r w:rsidRPr="007411B8">
        <w:t xml:space="preserve">В этом исследовании мы получили скорые ответы от пациентов после курса </w:t>
      </w:r>
      <w:proofErr w:type="spellStart"/>
      <w:r w:rsidRPr="007411B8">
        <w:t>тракции</w:t>
      </w:r>
      <w:proofErr w:type="spellEnd"/>
      <w:r w:rsidRPr="007411B8">
        <w:t xml:space="preserve">. Окончательная оценка результатов проводилась после завершения 15 сеансов </w:t>
      </w:r>
      <w:proofErr w:type="spellStart"/>
      <w:r w:rsidRPr="007411B8">
        <w:t>тракции</w:t>
      </w:r>
      <w:proofErr w:type="spellEnd"/>
      <w:r w:rsidRPr="007411B8">
        <w:t xml:space="preserve"> (примерно 1,5 месяца). Хотя это </w:t>
      </w:r>
      <w:r w:rsidR="00B82ADD">
        <w:t xml:space="preserve">и </w:t>
      </w:r>
      <w:r w:rsidRPr="007411B8">
        <w:t xml:space="preserve">не отражает долгосрочную эффективность </w:t>
      </w:r>
      <w:proofErr w:type="spellStart"/>
      <w:r w:rsidRPr="007411B8">
        <w:t>тракционного</w:t>
      </w:r>
      <w:proofErr w:type="spellEnd"/>
      <w:r w:rsidRPr="007411B8">
        <w:t xml:space="preserve"> лечения, мы смогли сравнить терапевтические эффекты различных методов лечения в определенное время. В последующих исследованиях должны быть определены длительные эффекты лечения.</w:t>
      </w:r>
    </w:p>
    <w:p w:rsidR="004F1755" w:rsidRDefault="00442964" w:rsidP="001D0345">
      <w:pPr>
        <w:spacing w:after="0"/>
        <w:contextualSpacing/>
        <w:jc w:val="both"/>
      </w:pPr>
      <w:r w:rsidRPr="00442964">
        <w:t xml:space="preserve">Несмотря на вышеизложенные ограничения, недавно изобретенный метод L-LCCT рекомендуется в качестве эффективного метода лечения заболевания поясничного межпозвонкового диска. Дальнейшие исследования должны быть проведены с целью создания методических рекомендаций по </w:t>
      </w:r>
      <w:proofErr w:type="spellStart"/>
      <w:r w:rsidRPr="00442964">
        <w:t>тракции</w:t>
      </w:r>
      <w:proofErr w:type="spellEnd"/>
      <w:r w:rsidRPr="00442964">
        <w:t>. Данные методики должны содержать информацию об интенсивности, о длительности и частоте лечения. Всё это необходимо для получения высоких результатов</w:t>
      </w:r>
      <w:r>
        <w:t>.</w:t>
      </w:r>
    </w:p>
    <w:p w:rsidR="00F65D96" w:rsidRDefault="00F65D96" w:rsidP="001D0345">
      <w:pPr>
        <w:spacing w:after="0"/>
        <w:contextualSpacing/>
        <w:jc w:val="both"/>
      </w:pPr>
    </w:p>
    <w:p w:rsidR="00F65D96" w:rsidRDefault="00F65D96" w:rsidP="00F65D96">
      <w:pPr>
        <w:spacing w:after="0"/>
        <w:contextualSpacing/>
        <w:jc w:val="both"/>
        <w:rPr>
          <w:b/>
        </w:rPr>
      </w:pPr>
      <w:r w:rsidRPr="00C90046">
        <w:rPr>
          <w:b/>
        </w:rPr>
        <w:t>5. Выводы</w:t>
      </w:r>
    </w:p>
    <w:p w:rsidR="00F65D96" w:rsidRDefault="00F65D96" w:rsidP="001D0345">
      <w:pPr>
        <w:spacing w:after="0"/>
        <w:contextualSpacing/>
        <w:jc w:val="both"/>
      </w:pPr>
      <w:r w:rsidRPr="00F65D96">
        <w:t xml:space="preserve">Это исследование показало, что недавно изобретенное устройство для </w:t>
      </w:r>
      <w:proofErr w:type="spellStart"/>
      <w:r w:rsidR="006743EF" w:rsidRPr="00F65D96">
        <w:t>тракции</w:t>
      </w:r>
      <w:proofErr w:type="spellEnd"/>
      <w:r w:rsidR="006743EF" w:rsidRPr="00F65D96">
        <w:t>, которое</w:t>
      </w:r>
      <w:r w:rsidRPr="00F65D96">
        <w:t xml:space="preserve"> поддерживает </w:t>
      </w:r>
      <w:proofErr w:type="spellStart"/>
      <w:r w:rsidRPr="00F65D96">
        <w:t>лордотическую</w:t>
      </w:r>
      <w:proofErr w:type="spellEnd"/>
      <w:r w:rsidRPr="00F65D96">
        <w:t xml:space="preserve"> кривую поясницы, является более эффективным методом, чем </w:t>
      </w:r>
      <w:r w:rsidRPr="00F65D96">
        <w:lastRenderedPageBreak/>
        <w:t xml:space="preserve">традиционное устройство для </w:t>
      </w:r>
      <w:proofErr w:type="spellStart"/>
      <w:r w:rsidRPr="00F65D96">
        <w:t>тракции</w:t>
      </w:r>
      <w:proofErr w:type="spellEnd"/>
      <w:r w:rsidRPr="00F65D96">
        <w:t>. Таким образом, данный метод быть идеальным вариантом лечения пациентов с заболевание межпозвоночного диска поясницы.</w:t>
      </w:r>
    </w:p>
    <w:p w:rsidR="0079380D" w:rsidRDefault="0079380D" w:rsidP="001D0345">
      <w:pPr>
        <w:spacing w:after="0"/>
        <w:contextualSpacing/>
        <w:jc w:val="both"/>
      </w:pPr>
    </w:p>
    <w:p w:rsidR="0079380D" w:rsidRDefault="0079380D" w:rsidP="001D0345">
      <w:pPr>
        <w:spacing w:after="0"/>
        <w:contextualSpacing/>
        <w:jc w:val="both"/>
      </w:pPr>
      <w:r w:rsidRPr="00955442">
        <w:rPr>
          <w:b/>
        </w:rPr>
        <w:t>Вклад авторов</w:t>
      </w:r>
      <w:r w:rsidRPr="0079380D">
        <w:t xml:space="preserve">: Написание </w:t>
      </w:r>
      <w:r>
        <w:t>первоначального проекта, C.-H.L</w:t>
      </w:r>
      <w:r w:rsidRPr="0079380D">
        <w:t>.; написание рецензии и редактирование, С.-Ю.</w:t>
      </w:r>
      <w:proofErr w:type="gramStart"/>
      <w:r w:rsidRPr="0079380D">
        <w:t>К .</w:t>
      </w:r>
      <w:proofErr w:type="gramEnd"/>
      <w:r w:rsidRPr="0079380D">
        <w:t>; методология ,S.J.H .; курирование данных, S.H.P .; исследование, H.S.J. Все авторы ознакомились и согласились с опубликованной версией текста.</w:t>
      </w:r>
    </w:p>
    <w:p w:rsidR="00F65D96" w:rsidRPr="00A71944" w:rsidRDefault="00F65D96" w:rsidP="001D0345">
      <w:pPr>
        <w:spacing w:after="0"/>
        <w:contextualSpacing/>
        <w:jc w:val="both"/>
      </w:pPr>
    </w:p>
    <w:p w:rsidR="00955442" w:rsidRDefault="00955442" w:rsidP="00955442">
      <w:pPr>
        <w:spacing w:after="0"/>
        <w:contextualSpacing/>
        <w:jc w:val="both"/>
      </w:pPr>
      <w:r w:rsidRPr="000B10B5">
        <w:rPr>
          <w:b/>
        </w:rPr>
        <w:t>Финансирование:</w:t>
      </w:r>
      <w:r>
        <w:t xml:space="preserve"> Э</w:t>
      </w:r>
      <w:r w:rsidRPr="000B10B5">
        <w:t>то исследование было поддержано грантом Корейского проекта исследований и разработок в области технологий здравоохранения Министерства здравоохранения и благополучия, Республика Корея (№ H17C2070).</w:t>
      </w:r>
    </w:p>
    <w:p w:rsidR="00955442" w:rsidRDefault="00955442" w:rsidP="00955442">
      <w:pPr>
        <w:spacing w:after="0"/>
        <w:contextualSpacing/>
        <w:jc w:val="both"/>
      </w:pPr>
    </w:p>
    <w:p w:rsidR="00955442" w:rsidRDefault="00955442" w:rsidP="00955442">
      <w:pPr>
        <w:spacing w:after="0"/>
        <w:contextualSpacing/>
        <w:jc w:val="both"/>
      </w:pPr>
      <w:r w:rsidRPr="00D31F82">
        <w:rPr>
          <w:b/>
        </w:rPr>
        <w:t>Конфликт интересов:</w:t>
      </w:r>
      <w:r>
        <w:t xml:space="preserve"> А</w:t>
      </w:r>
      <w:r w:rsidRPr="00D31F82">
        <w:t>вторы заявляют об отсутствии конфликта интересов.</w:t>
      </w:r>
    </w:p>
    <w:p w:rsidR="00955442" w:rsidRDefault="00955442" w:rsidP="00955442">
      <w:pPr>
        <w:spacing w:after="0"/>
        <w:contextualSpacing/>
        <w:jc w:val="both"/>
      </w:pPr>
    </w:p>
    <w:p w:rsidR="00955442" w:rsidRPr="009F6508" w:rsidRDefault="00955442" w:rsidP="00955442">
      <w:pPr>
        <w:spacing w:after="0"/>
        <w:contextualSpacing/>
        <w:jc w:val="both"/>
        <w:rPr>
          <w:b/>
          <w:lang w:val="en-US"/>
        </w:rPr>
      </w:pPr>
      <w:r w:rsidRPr="00CD0229">
        <w:rPr>
          <w:b/>
        </w:rPr>
        <w:t>Ссылки</w:t>
      </w:r>
    </w:p>
    <w:p w:rsidR="009F6508" w:rsidRPr="00F662FB" w:rsidRDefault="009F6508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Cheng, Y.H.; Hsu, C.Y.; Lin, Y.N. The Effect of Mechanical Traction on Low Back Pain in Patients with </w:t>
      </w:r>
      <w:proofErr w:type="spellStart"/>
      <w:r w:rsidRPr="00F662FB">
        <w:rPr>
          <w:lang w:val="en-US"/>
        </w:rPr>
        <w:t>Hermiated</w:t>
      </w:r>
      <w:proofErr w:type="spellEnd"/>
      <w:r w:rsidRPr="00F662FB">
        <w:rPr>
          <w:lang w:val="en-US"/>
        </w:rPr>
        <w:t xml:space="preserve"> Intervertebral Disks: A Systemic Review and Meta-Analysis. </w:t>
      </w:r>
      <w:proofErr w:type="spellStart"/>
      <w:r w:rsidRPr="00F662FB">
        <w:rPr>
          <w:lang w:val="en-US"/>
        </w:rPr>
        <w:t>Clin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Rehabil</w:t>
      </w:r>
      <w:proofErr w:type="spellEnd"/>
      <w:r w:rsidRPr="00F662FB">
        <w:rPr>
          <w:lang w:val="en-US"/>
        </w:rPr>
        <w:t xml:space="preserve">. </w:t>
      </w:r>
      <w:r w:rsidRPr="00F662FB">
        <w:rPr>
          <w:b/>
          <w:lang w:val="en-US"/>
        </w:rPr>
        <w:t>2019</w:t>
      </w:r>
      <w:r w:rsidRPr="00F662FB">
        <w:rPr>
          <w:lang w:val="en-US"/>
        </w:rPr>
        <w:t>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 xml:space="preserve">] </w:t>
      </w:r>
    </w:p>
    <w:p w:rsidR="00213579" w:rsidRPr="00F662FB" w:rsidRDefault="009F6508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Lindback</w:t>
      </w:r>
      <w:proofErr w:type="spellEnd"/>
      <w:r w:rsidRPr="00F662FB">
        <w:rPr>
          <w:lang w:val="en-US"/>
        </w:rPr>
        <w:t xml:space="preserve">, Y.; </w:t>
      </w:r>
      <w:proofErr w:type="spellStart"/>
      <w:r w:rsidRPr="00F662FB">
        <w:rPr>
          <w:lang w:val="en-US"/>
        </w:rPr>
        <w:t>Tropp</w:t>
      </w:r>
      <w:proofErr w:type="spellEnd"/>
      <w:r w:rsidRPr="00F662FB">
        <w:rPr>
          <w:lang w:val="en-US"/>
        </w:rPr>
        <w:t xml:space="preserve">, H.; </w:t>
      </w:r>
      <w:proofErr w:type="spellStart"/>
      <w:r w:rsidRPr="00F662FB">
        <w:rPr>
          <w:lang w:val="en-US"/>
        </w:rPr>
        <w:t>Enthoven</w:t>
      </w:r>
      <w:proofErr w:type="spellEnd"/>
      <w:r w:rsidRPr="00F662FB">
        <w:rPr>
          <w:lang w:val="en-US"/>
        </w:rPr>
        <w:t xml:space="preserve">, P.; Abbott, A.; Oberg, B. </w:t>
      </w:r>
      <w:proofErr w:type="gramStart"/>
      <w:r w:rsidRPr="00F662FB">
        <w:rPr>
          <w:lang w:val="en-US"/>
        </w:rPr>
        <w:t>PREPARE:</w:t>
      </w:r>
      <w:proofErr w:type="gramEnd"/>
      <w:r w:rsidRPr="00F662FB">
        <w:rPr>
          <w:lang w:val="en-US"/>
        </w:rPr>
        <w:t xml:space="preserve"> Pre-Surgery Physiotherapy for Patients with Degenerative Lumbar Spine Disorder: A Randomized Controlled Trial Protocol. BMC </w:t>
      </w:r>
      <w:proofErr w:type="spellStart"/>
      <w:r w:rsidRPr="00F662FB">
        <w:rPr>
          <w:lang w:val="en-US"/>
        </w:rPr>
        <w:t>Musculoskelet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Disord</w:t>
      </w:r>
      <w:proofErr w:type="spellEnd"/>
      <w:r w:rsidRPr="00F662FB">
        <w:rPr>
          <w:lang w:val="en-US"/>
        </w:rPr>
        <w:t xml:space="preserve">. </w:t>
      </w:r>
      <w:proofErr w:type="gramStart"/>
      <w:r w:rsidRPr="00F662FB">
        <w:rPr>
          <w:b/>
          <w:lang w:val="en-US"/>
        </w:rPr>
        <w:t>2016</w:t>
      </w:r>
      <w:proofErr w:type="gramEnd"/>
      <w:r w:rsidRPr="00F662FB">
        <w:rPr>
          <w:lang w:val="en-US"/>
        </w:rPr>
        <w:t>, 17, 270.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Tadano, S.; Tanabe, H.; Arai, S.; </w:t>
      </w:r>
      <w:proofErr w:type="spellStart"/>
      <w:r w:rsidRPr="00F662FB">
        <w:rPr>
          <w:lang w:val="en-US"/>
        </w:rPr>
        <w:t>Fujino</w:t>
      </w:r>
      <w:proofErr w:type="spellEnd"/>
      <w:r w:rsidRPr="00F662FB">
        <w:rPr>
          <w:lang w:val="en-US"/>
        </w:rPr>
        <w:t xml:space="preserve">, K.; </w:t>
      </w:r>
      <w:proofErr w:type="spellStart"/>
      <w:r w:rsidRPr="00F662FB">
        <w:rPr>
          <w:lang w:val="en-US"/>
        </w:rPr>
        <w:t>Doi</w:t>
      </w:r>
      <w:proofErr w:type="spellEnd"/>
      <w:r w:rsidRPr="00F662FB">
        <w:rPr>
          <w:lang w:val="en-US"/>
        </w:rPr>
        <w:t xml:space="preserve">, T.; Akai, M. Lumbar Mechanical Traction: A Biomechanical Assessment of Change at the Lumbar Spine. BMC </w:t>
      </w:r>
      <w:proofErr w:type="spellStart"/>
      <w:r w:rsidRPr="00F662FB">
        <w:rPr>
          <w:lang w:val="en-US"/>
        </w:rPr>
        <w:t>Musculoskelet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Disord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2019</w:t>
      </w:r>
      <w:proofErr w:type="gramEnd"/>
      <w:r w:rsidRPr="00F662FB">
        <w:rPr>
          <w:lang w:val="en-US"/>
        </w:rPr>
        <w:t>, 20, 155.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 xml:space="preserve">] </w:t>
      </w:r>
    </w:p>
    <w:p w:rsidR="009F6508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Nagrale</w:t>
      </w:r>
      <w:proofErr w:type="spellEnd"/>
      <w:r w:rsidRPr="00F662FB">
        <w:rPr>
          <w:lang w:val="en-US"/>
        </w:rPr>
        <w:t xml:space="preserve">, A.V.; </w:t>
      </w:r>
      <w:proofErr w:type="spellStart"/>
      <w:r w:rsidRPr="00F662FB">
        <w:rPr>
          <w:lang w:val="en-US"/>
        </w:rPr>
        <w:t>Patil</w:t>
      </w:r>
      <w:proofErr w:type="spellEnd"/>
      <w:r w:rsidRPr="00F662FB">
        <w:rPr>
          <w:lang w:val="en-US"/>
        </w:rPr>
        <w:t xml:space="preserve">, S.P.; Gandhi, R.A.; </w:t>
      </w:r>
      <w:proofErr w:type="spellStart"/>
      <w:r w:rsidRPr="00F662FB">
        <w:rPr>
          <w:lang w:val="en-US"/>
        </w:rPr>
        <w:t>Learman</w:t>
      </w:r>
      <w:proofErr w:type="spellEnd"/>
      <w:r w:rsidRPr="00F662FB">
        <w:rPr>
          <w:lang w:val="en-US"/>
        </w:rPr>
        <w:t xml:space="preserve">, K. Effect of Slump Stretching Versus Lumbar Mobilization with Exercise in Subjects with Non-Radicular Low back Pain: A Randomized Clinical Trial. J. </w:t>
      </w:r>
      <w:proofErr w:type="spellStart"/>
      <w:r w:rsidRPr="00F662FB">
        <w:rPr>
          <w:lang w:val="en-US"/>
        </w:rPr>
        <w:t>Man.Manip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Ther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2012</w:t>
      </w:r>
      <w:proofErr w:type="gramEnd"/>
      <w:r w:rsidRPr="00F662FB">
        <w:rPr>
          <w:lang w:val="en-US"/>
        </w:rPr>
        <w:t>, 20, 35–42.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Diab</w:t>
      </w:r>
      <w:proofErr w:type="spellEnd"/>
      <w:r w:rsidRPr="00F662FB">
        <w:rPr>
          <w:lang w:val="en-US"/>
        </w:rPr>
        <w:t xml:space="preserve">, A.A.; </w:t>
      </w:r>
      <w:proofErr w:type="spellStart"/>
      <w:r w:rsidRPr="00F662FB">
        <w:rPr>
          <w:lang w:val="en-US"/>
        </w:rPr>
        <w:t>Moustafa</w:t>
      </w:r>
      <w:proofErr w:type="spellEnd"/>
      <w:r w:rsidRPr="00F662FB">
        <w:rPr>
          <w:lang w:val="en-US"/>
        </w:rPr>
        <w:t xml:space="preserve">, I.M. The Efficacy of Lumbar Extension Traction for Sagittal Alignment in Mechanical Low back Pain: A Randomized Trial. J. Back </w:t>
      </w:r>
      <w:proofErr w:type="spellStart"/>
      <w:r w:rsidRPr="00F662FB">
        <w:rPr>
          <w:lang w:val="en-US"/>
        </w:rPr>
        <w:t>Musculoskelet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Rehabil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2013</w:t>
      </w:r>
      <w:proofErr w:type="gramEnd"/>
      <w:r w:rsidRPr="00F662FB">
        <w:rPr>
          <w:lang w:val="en-US"/>
        </w:rPr>
        <w:t>, 26, 213–220.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Macario</w:t>
      </w:r>
      <w:proofErr w:type="spellEnd"/>
      <w:r w:rsidRPr="00F662FB">
        <w:rPr>
          <w:lang w:val="en-US"/>
        </w:rPr>
        <w:t xml:space="preserve">, A.; </w:t>
      </w:r>
      <w:proofErr w:type="spellStart"/>
      <w:r w:rsidRPr="00F662FB">
        <w:rPr>
          <w:lang w:val="en-US"/>
        </w:rPr>
        <w:t>Pergolizzi</w:t>
      </w:r>
      <w:proofErr w:type="spellEnd"/>
      <w:r w:rsidRPr="00F662FB">
        <w:rPr>
          <w:lang w:val="en-US"/>
        </w:rPr>
        <w:t xml:space="preserve">, J.V. Systematic Literature Review of Spinal Decompression </w:t>
      </w:r>
      <w:proofErr w:type="gramStart"/>
      <w:r w:rsidRPr="00F662FB">
        <w:rPr>
          <w:lang w:val="en-US"/>
        </w:rPr>
        <w:t>Via</w:t>
      </w:r>
      <w:proofErr w:type="gramEnd"/>
      <w:r w:rsidRPr="00F662FB">
        <w:rPr>
          <w:lang w:val="en-US"/>
        </w:rPr>
        <w:t xml:space="preserve"> Motorized Traction for Chronic </w:t>
      </w:r>
      <w:proofErr w:type="spellStart"/>
      <w:r w:rsidRPr="00F662FB">
        <w:rPr>
          <w:lang w:val="en-US"/>
        </w:rPr>
        <w:t>Discogenic</w:t>
      </w:r>
      <w:proofErr w:type="spellEnd"/>
      <w:r w:rsidRPr="00F662FB">
        <w:rPr>
          <w:lang w:val="en-US"/>
        </w:rPr>
        <w:t xml:space="preserve"> Low Back Pain. Pain </w:t>
      </w:r>
      <w:proofErr w:type="spellStart"/>
      <w:r w:rsidRPr="00F662FB">
        <w:rPr>
          <w:lang w:val="en-US"/>
        </w:rPr>
        <w:t>Pract</w:t>
      </w:r>
      <w:proofErr w:type="spellEnd"/>
      <w:r w:rsidRPr="00F662FB">
        <w:rPr>
          <w:lang w:val="en-US"/>
        </w:rPr>
        <w:t xml:space="preserve">. </w:t>
      </w:r>
      <w:proofErr w:type="gramStart"/>
      <w:r w:rsidRPr="00F662FB">
        <w:rPr>
          <w:lang w:val="en-US"/>
        </w:rPr>
        <w:t>2006</w:t>
      </w:r>
      <w:proofErr w:type="gramEnd"/>
      <w:r w:rsidRPr="00F662FB">
        <w:rPr>
          <w:lang w:val="en-US"/>
        </w:rPr>
        <w:t>, 6, 171–178.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Harte, A.A.; </w:t>
      </w:r>
      <w:proofErr w:type="spellStart"/>
      <w:r w:rsidRPr="00F662FB">
        <w:rPr>
          <w:lang w:val="en-US"/>
        </w:rPr>
        <w:t>Gracey</w:t>
      </w:r>
      <w:proofErr w:type="spellEnd"/>
      <w:r w:rsidRPr="00F662FB">
        <w:rPr>
          <w:lang w:val="en-US"/>
        </w:rPr>
        <w:t xml:space="preserve">, J.H.; Baxter, G.D. Current Use of Lumbar Traction in the Management of Low back Pain: Results of a Survey of Physiotherapists in the United Kingdom. Arch. Phys. Med. </w:t>
      </w:r>
      <w:proofErr w:type="spellStart"/>
      <w:r w:rsidRPr="00F662FB">
        <w:rPr>
          <w:lang w:val="en-US"/>
        </w:rPr>
        <w:t>Rehabil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2005</w:t>
      </w:r>
      <w:proofErr w:type="gramEnd"/>
      <w:r w:rsidRPr="00F662FB">
        <w:rPr>
          <w:lang w:val="en-US"/>
        </w:rPr>
        <w:t>, 86, 1164–1169.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Default="00F662FB" w:rsidP="00F662FB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F662FB">
        <w:rPr>
          <w:lang w:val="en-US"/>
        </w:rPr>
        <w:t>Finocchiaro</w:t>
      </w:r>
      <w:proofErr w:type="spellEnd"/>
      <w:r w:rsidRPr="00F662FB">
        <w:rPr>
          <w:lang w:val="en-US"/>
        </w:rPr>
        <w:t xml:space="preserve">, F.M.; </w:t>
      </w:r>
      <w:proofErr w:type="spellStart"/>
      <w:r w:rsidRPr="00F662FB">
        <w:rPr>
          <w:lang w:val="en-US"/>
        </w:rPr>
        <w:t>Nena</w:t>
      </w:r>
      <w:proofErr w:type="spellEnd"/>
      <w:r w:rsidRPr="00F662FB">
        <w:rPr>
          <w:lang w:val="en-US"/>
        </w:rPr>
        <w:t xml:space="preserve">, U.; Lo </w:t>
      </w:r>
      <w:proofErr w:type="spellStart"/>
      <w:r w:rsidRPr="00F662FB">
        <w:rPr>
          <w:lang w:val="en-US"/>
        </w:rPr>
        <w:t>Scalzo</w:t>
      </w:r>
      <w:proofErr w:type="spellEnd"/>
      <w:r w:rsidRPr="00F662FB">
        <w:rPr>
          <w:lang w:val="en-US"/>
        </w:rPr>
        <w:t xml:space="preserve">, V.; </w:t>
      </w:r>
      <w:proofErr w:type="spellStart"/>
      <w:r w:rsidRPr="00F662FB">
        <w:rPr>
          <w:lang w:val="en-US"/>
        </w:rPr>
        <w:t>Monterumici</w:t>
      </w:r>
      <w:proofErr w:type="spellEnd"/>
      <w:r w:rsidRPr="00F662FB">
        <w:rPr>
          <w:lang w:val="en-US"/>
        </w:rPr>
        <w:t xml:space="preserve">, D.A. Treatment of Kyphotic Deformities in Adults: Our Experience. Eur. Spine J. </w:t>
      </w:r>
      <w:r w:rsidRPr="00873D9F">
        <w:rPr>
          <w:b/>
          <w:lang w:val="en-US"/>
        </w:rPr>
        <w:t>2012</w:t>
      </w:r>
      <w:r w:rsidRPr="00F662FB">
        <w:rPr>
          <w:lang w:val="en-US"/>
        </w:rPr>
        <w:t xml:space="preserve">, 21, 100–107. </w:t>
      </w:r>
      <w:r>
        <w:t>[</w:t>
      </w:r>
      <w:proofErr w:type="spellStart"/>
      <w:r w:rsidRPr="0082513E">
        <w:rPr>
          <w:color w:val="2E74B5" w:themeColor="accent5" w:themeShade="BF"/>
        </w:rPr>
        <w:t>CrossRef</w:t>
      </w:r>
      <w:proofErr w:type="spellEnd"/>
      <w: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>
        <w:t>Lee</w:t>
      </w:r>
      <w:proofErr w:type="spellEnd"/>
      <w:r>
        <w:t xml:space="preserve">, S.H.; </w:t>
      </w:r>
      <w:proofErr w:type="spellStart"/>
      <w:r>
        <w:t>Derby</w:t>
      </w:r>
      <w:proofErr w:type="spellEnd"/>
      <w:r>
        <w:t xml:space="preserve">, R.; </w:t>
      </w:r>
      <w:proofErr w:type="spellStart"/>
      <w:r>
        <w:t>Sul</w:t>
      </w:r>
      <w:proofErr w:type="spellEnd"/>
      <w:r>
        <w:t xml:space="preserve">, D.; </w:t>
      </w:r>
      <w:proofErr w:type="spellStart"/>
      <w:r>
        <w:t>Hong</w:t>
      </w:r>
      <w:proofErr w:type="spellEnd"/>
      <w:r>
        <w:t xml:space="preserve">, J.; </w:t>
      </w:r>
      <w:proofErr w:type="spellStart"/>
      <w:r>
        <w:t>Kim</w:t>
      </w:r>
      <w:proofErr w:type="spellEnd"/>
      <w:r>
        <w:t xml:space="preserve">, G.H.; </w:t>
      </w:r>
      <w:proofErr w:type="spellStart"/>
      <w:r>
        <w:t>Kang</w:t>
      </w:r>
      <w:proofErr w:type="spellEnd"/>
      <w:r>
        <w:t xml:space="preserve">, S.; </w:t>
      </w:r>
      <w:proofErr w:type="spellStart"/>
      <w:r>
        <w:t>Kim</w:t>
      </w:r>
      <w:proofErr w:type="spellEnd"/>
      <w:r>
        <w:t xml:space="preserve">, N.H.; </w:t>
      </w:r>
      <w:proofErr w:type="spellStart"/>
      <w:r>
        <w:t>Yoo</w:t>
      </w:r>
      <w:proofErr w:type="spellEnd"/>
      <w:r>
        <w:t xml:space="preserve">, S.H.; </w:t>
      </w:r>
      <w:proofErr w:type="spellStart"/>
      <w:r>
        <w:t>Lee</w:t>
      </w:r>
      <w:proofErr w:type="spellEnd"/>
      <w:r>
        <w:t xml:space="preserve">, S.J.; </w:t>
      </w:r>
      <w:proofErr w:type="spellStart"/>
      <w:r>
        <w:t>Hong</w:t>
      </w:r>
      <w:proofErr w:type="spellEnd"/>
      <w:r>
        <w:t xml:space="preserve">, Y.K.;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 w:rsidRPr="00F662FB">
        <w:rPr>
          <w:lang w:val="en-US"/>
        </w:rPr>
        <w:t xml:space="preserve">Efficacy of a New Navigable Percutaneous Disc Decompression Device (L’DISQ) in Patients with Herniated Nucleus </w:t>
      </w:r>
      <w:proofErr w:type="spellStart"/>
      <w:r w:rsidRPr="00F662FB">
        <w:rPr>
          <w:lang w:val="en-US"/>
        </w:rPr>
        <w:t>Pulposus</w:t>
      </w:r>
      <w:proofErr w:type="spellEnd"/>
      <w:r w:rsidRPr="00F662FB">
        <w:rPr>
          <w:lang w:val="en-US"/>
        </w:rPr>
        <w:t xml:space="preserve"> Related to Radicular Pain. Pain Med. </w:t>
      </w:r>
      <w:r w:rsidRPr="00873D9F">
        <w:rPr>
          <w:b/>
          <w:lang w:val="en-US"/>
        </w:rPr>
        <w:t>2011</w:t>
      </w:r>
      <w:r w:rsidRPr="00F662FB">
        <w:rPr>
          <w:lang w:val="en-US"/>
        </w:rPr>
        <w:t>, 12, 370–376.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 xml:space="preserve">] </w:t>
      </w:r>
    </w:p>
    <w:p w:rsidR="00F662FB" w:rsidRDefault="00F662FB" w:rsidP="00F662FB">
      <w:pPr>
        <w:pStyle w:val="a4"/>
        <w:numPr>
          <w:ilvl w:val="0"/>
          <w:numId w:val="1"/>
        </w:numPr>
        <w:spacing w:after="0"/>
        <w:jc w:val="both"/>
      </w:pPr>
      <w:r w:rsidRPr="00F662FB">
        <w:rPr>
          <w:lang w:val="en-US"/>
        </w:rPr>
        <w:t xml:space="preserve">Lee, S.H.; Derby, R.; </w:t>
      </w:r>
      <w:proofErr w:type="spellStart"/>
      <w:r w:rsidRPr="00F662FB">
        <w:rPr>
          <w:lang w:val="en-US"/>
        </w:rPr>
        <w:t>Sul</w:t>
      </w:r>
      <w:proofErr w:type="spellEnd"/>
      <w:r w:rsidRPr="00F662FB">
        <w:rPr>
          <w:lang w:val="en-US"/>
        </w:rPr>
        <w:t xml:space="preserve">, D.; Hong, Y.K.; Ha, K.W.; Suh, D.; Lee, S.H.; Yoon, H.S.; </w:t>
      </w:r>
      <w:proofErr w:type="spellStart"/>
      <w:r w:rsidRPr="00F662FB">
        <w:rPr>
          <w:lang w:val="en-US"/>
        </w:rPr>
        <w:t>Yoo</w:t>
      </w:r>
      <w:proofErr w:type="spellEnd"/>
      <w:r w:rsidRPr="00F662FB">
        <w:rPr>
          <w:lang w:val="en-US"/>
        </w:rPr>
        <w:t xml:space="preserve">, S.H.; Lee, S.J.; et al. Effectiveness of a New Navigable Percutaneous Disc Decompression Device (L’DISQ) in Patients with Lumbar </w:t>
      </w:r>
      <w:proofErr w:type="spellStart"/>
      <w:r w:rsidRPr="00F662FB">
        <w:rPr>
          <w:lang w:val="en-US"/>
        </w:rPr>
        <w:t>Discogenic</w:t>
      </w:r>
      <w:proofErr w:type="spellEnd"/>
      <w:r w:rsidRPr="00F662FB">
        <w:rPr>
          <w:lang w:val="en-US"/>
        </w:rPr>
        <w:t xml:space="preserve"> Pain.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. </w:t>
      </w:r>
      <w:r w:rsidRPr="00873D9F">
        <w:rPr>
          <w:b/>
        </w:rPr>
        <w:t>2015</w:t>
      </w:r>
      <w:r>
        <w:t>, 16, 266–273. [</w:t>
      </w:r>
      <w:proofErr w:type="spellStart"/>
      <w:r w:rsidRPr="0082513E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82513E">
        <w:rPr>
          <w:color w:val="2E74B5" w:themeColor="accent5" w:themeShade="BF"/>
        </w:rPr>
        <w:t>PubMed</w:t>
      </w:r>
      <w:proofErr w:type="spellEnd"/>
      <w: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Wegner, I.; </w:t>
      </w:r>
      <w:proofErr w:type="spellStart"/>
      <w:r w:rsidRPr="00F662FB">
        <w:rPr>
          <w:lang w:val="en-US"/>
        </w:rPr>
        <w:t>Widyahening</w:t>
      </w:r>
      <w:proofErr w:type="spellEnd"/>
      <w:r w:rsidRPr="00F662FB">
        <w:rPr>
          <w:lang w:val="en-US"/>
        </w:rPr>
        <w:t xml:space="preserve">, I.S.; van </w:t>
      </w:r>
      <w:proofErr w:type="spellStart"/>
      <w:r w:rsidRPr="00F662FB">
        <w:rPr>
          <w:lang w:val="en-US"/>
        </w:rPr>
        <w:t>Tulder</w:t>
      </w:r>
      <w:proofErr w:type="spellEnd"/>
      <w:r w:rsidRPr="00F662FB">
        <w:rPr>
          <w:lang w:val="en-US"/>
        </w:rPr>
        <w:t xml:space="preserve">, M.W.; </w:t>
      </w:r>
      <w:proofErr w:type="spellStart"/>
      <w:r w:rsidRPr="00F662FB">
        <w:rPr>
          <w:lang w:val="en-US"/>
        </w:rPr>
        <w:t>Blomberg</w:t>
      </w:r>
      <w:proofErr w:type="spellEnd"/>
      <w:r w:rsidRPr="00F662FB">
        <w:rPr>
          <w:lang w:val="en-US"/>
        </w:rPr>
        <w:t xml:space="preserve">, S.E.; de Vet, H.C.; </w:t>
      </w:r>
      <w:proofErr w:type="spellStart"/>
      <w:r w:rsidRPr="00F662FB">
        <w:rPr>
          <w:lang w:val="en-US"/>
        </w:rPr>
        <w:t>Bronfort</w:t>
      </w:r>
      <w:proofErr w:type="spellEnd"/>
      <w:r w:rsidRPr="00F662FB">
        <w:rPr>
          <w:lang w:val="en-US"/>
        </w:rPr>
        <w:t xml:space="preserve">, G.; </w:t>
      </w:r>
      <w:proofErr w:type="spellStart"/>
      <w:r w:rsidRPr="00F662FB">
        <w:rPr>
          <w:lang w:val="en-US"/>
        </w:rPr>
        <w:t>Bouter</w:t>
      </w:r>
      <w:proofErr w:type="spellEnd"/>
      <w:r w:rsidRPr="00F662FB">
        <w:rPr>
          <w:lang w:val="en-US"/>
        </w:rPr>
        <w:t xml:space="preserve">, L.M.; van der </w:t>
      </w:r>
      <w:proofErr w:type="spellStart"/>
      <w:r w:rsidRPr="00F662FB">
        <w:rPr>
          <w:lang w:val="en-US"/>
        </w:rPr>
        <w:t>Heijden</w:t>
      </w:r>
      <w:proofErr w:type="spellEnd"/>
      <w:r w:rsidRPr="00F662FB">
        <w:rPr>
          <w:lang w:val="en-US"/>
        </w:rPr>
        <w:t xml:space="preserve">, G.J. Traction for Low-Back Pain with or without Sciatica. Cochrane Database Syst. Rev. </w:t>
      </w:r>
      <w:r w:rsidRPr="00873D9F">
        <w:rPr>
          <w:b/>
          <w:lang w:val="en-US"/>
        </w:rPr>
        <w:t>2013</w:t>
      </w:r>
      <w:r w:rsidRPr="00F662FB">
        <w:rPr>
          <w:lang w:val="en-US"/>
        </w:rPr>
        <w:t>, 19, CD003010.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>National Institute for Health and Care Excellence. Nice Guidelines: Low Back Pain and Sciatica in over 16s: Assessment and Management; National Institute for Health and Care Excellence: London, UK, 2016.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Clarke, J.A.; van </w:t>
      </w:r>
      <w:proofErr w:type="spellStart"/>
      <w:r w:rsidRPr="00F662FB">
        <w:rPr>
          <w:lang w:val="en-US"/>
        </w:rPr>
        <w:t>Tulder</w:t>
      </w:r>
      <w:proofErr w:type="spellEnd"/>
      <w:r w:rsidRPr="00F662FB">
        <w:rPr>
          <w:lang w:val="en-US"/>
        </w:rPr>
        <w:t xml:space="preserve">, M.W.; </w:t>
      </w:r>
      <w:proofErr w:type="spellStart"/>
      <w:r w:rsidRPr="00F662FB">
        <w:rPr>
          <w:lang w:val="en-US"/>
        </w:rPr>
        <w:t>Blomberg</w:t>
      </w:r>
      <w:proofErr w:type="spellEnd"/>
      <w:r w:rsidRPr="00F662FB">
        <w:rPr>
          <w:lang w:val="en-US"/>
        </w:rPr>
        <w:t xml:space="preserve">, S.E.; de Vet, H.C.; van der </w:t>
      </w:r>
      <w:proofErr w:type="spellStart"/>
      <w:r w:rsidRPr="00F662FB">
        <w:rPr>
          <w:lang w:val="en-US"/>
        </w:rPr>
        <w:t>Hijden</w:t>
      </w:r>
      <w:proofErr w:type="spellEnd"/>
      <w:r w:rsidRPr="00F662FB">
        <w:rPr>
          <w:lang w:val="en-US"/>
        </w:rPr>
        <w:t xml:space="preserve">, G.J.; </w:t>
      </w:r>
      <w:proofErr w:type="spellStart"/>
      <w:r w:rsidRPr="00F662FB">
        <w:rPr>
          <w:lang w:val="en-US"/>
        </w:rPr>
        <w:t>Bronfort</w:t>
      </w:r>
      <w:proofErr w:type="spellEnd"/>
      <w:r w:rsidRPr="00F662FB">
        <w:rPr>
          <w:lang w:val="en-US"/>
        </w:rPr>
        <w:t>, G. Traction for Low-Back Pain with or without Sciatica. Cochrane Database Syst. Rev. 2005.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Default="00F662FB" w:rsidP="00F662FB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F662FB">
        <w:rPr>
          <w:lang w:val="en-US"/>
        </w:rPr>
        <w:lastRenderedPageBreak/>
        <w:t>Bekkering</w:t>
      </w:r>
      <w:proofErr w:type="spellEnd"/>
      <w:r w:rsidRPr="00F662FB">
        <w:rPr>
          <w:lang w:val="en-US"/>
        </w:rPr>
        <w:t xml:space="preserve">, G.E.; Hendriks, E.; </w:t>
      </w:r>
      <w:proofErr w:type="spellStart"/>
      <w:r w:rsidRPr="00F662FB">
        <w:rPr>
          <w:lang w:val="en-US"/>
        </w:rPr>
        <w:t>Koes</w:t>
      </w:r>
      <w:proofErr w:type="spellEnd"/>
      <w:r w:rsidRPr="00F662FB">
        <w:rPr>
          <w:lang w:val="en-US"/>
        </w:rPr>
        <w:t xml:space="preserve">, B.; </w:t>
      </w:r>
      <w:proofErr w:type="spellStart"/>
      <w:r w:rsidRPr="00F662FB">
        <w:rPr>
          <w:lang w:val="en-US"/>
        </w:rPr>
        <w:t>Oostendorp</w:t>
      </w:r>
      <w:proofErr w:type="spellEnd"/>
      <w:r w:rsidRPr="00F662FB">
        <w:rPr>
          <w:lang w:val="en-US"/>
        </w:rPr>
        <w:t xml:space="preserve">, R.A.B.; </w:t>
      </w:r>
      <w:proofErr w:type="spellStart"/>
      <w:r w:rsidRPr="00F662FB">
        <w:rPr>
          <w:lang w:val="en-US"/>
        </w:rPr>
        <w:t>Rwjg</w:t>
      </w:r>
      <w:proofErr w:type="spellEnd"/>
      <w:r w:rsidRPr="00F662FB">
        <w:rPr>
          <w:lang w:val="en-US"/>
        </w:rPr>
        <w:t xml:space="preserve">, O.; </w:t>
      </w:r>
      <w:proofErr w:type="spellStart"/>
      <w:r w:rsidRPr="00F662FB">
        <w:rPr>
          <w:lang w:val="en-US"/>
        </w:rPr>
        <w:t>Jmc</w:t>
      </w:r>
      <w:proofErr w:type="spellEnd"/>
      <w:r w:rsidRPr="00F662FB">
        <w:rPr>
          <w:lang w:val="en-US"/>
        </w:rPr>
        <w:t xml:space="preserve">, T.; </w:t>
      </w:r>
      <w:proofErr w:type="spellStart"/>
      <w:r w:rsidRPr="00F662FB">
        <w:rPr>
          <w:lang w:val="en-US"/>
        </w:rPr>
        <w:t>Tulder</w:t>
      </w:r>
      <w:proofErr w:type="spellEnd"/>
      <w:r w:rsidRPr="00F662FB">
        <w:rPr>
          <w:lang w:val="en-US"/>
        </w:rPr>
        <w:t xml:space="preserve">, M. Dutch Physiotherapy Guidelines for Low back Pain. Physiotherapy </w:t>
      </w:r>
      <w:r w:rsidRPr="00873D9F">
        <w:rPr>
          <w:b/>
          <w:lang w:val="en-US"/>
        </w:rPr>
        <w:t>2003</w:t>
      </w:r>
      <w:r w:rsidRPr="00F662FB">
        <w:rPr>
          <w:lang w:val="en-US"/>
        </w:rPr>
        <w:t xml:space="preserve">, 89, 82–96. </w:t>
      </w:r>
      <w:r>
        <w:t>[</w:t>
      </w:r>
      <w:proofErr w:type="spellStart"/>
      <w:r w:rsidRPr="0082513E">
        <w:rPr>
          <w:color w:val="2E74B5" w:themeColor="accent5" w:themeShade="BF"/>
        </w:rPr>
        <w:t>CrossRef</w:t>
      </w:r>
      <w:proofErr w:type="spellEnd"/>
      <w: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Thackeray, A.; Fritz, J.M.; Childs, J.D.; Brennan, G.P. The Effectiveness of Mechanical Traction among Subgroups of Patients with Low back Pain and Leg Pain: A Randomized Trial. J. </w:t>
      </w:r>
      <w:proofErr w:type="spellStart"/>
      <w:r w:rsidRPr="00F662FB">
        <w:rPr>
          <w:lang w:val="en-US"/>
        </w:rPr>
        <w:t>Orthop</w:t>
      </w:r>
      <w:proofErr w:type="spellEnd"/>
      <w:r w:rsidRPr="00F662FB">
        <w:rPr>
          <w:lang w:val="en-US"/>
        </w:rPr>
        <w:t xml:space="preserve">. Sports Phys. </w:t>
      </w:r>
      <w:proofErr w:type="spellStart"/>
      <w:r w:rsidRPr="00F662FB">
        <w:rPr>
          <w:lang w:val="en-US"/>
        </w:rPr>
        <w:t>Ther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2016</w:t>
      </w:r>
      <w:proofErr w:type="gramEnd"/>
      <w:r w:rsidRPr="00F662FB">
        <w:rPr>
          <w:lang w:val="en-US"/>
        </w:rPr>
        <w:t>, 46, 144–154.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Fritz, J.M.; Thackeray, A.; Childs, J.D.; Brennan, G.P. A Randomized Clinical Trial of the Effectiveness of Mechanical Traction for Sub-Groups of Patients with Low back Pain: Study Methods and Rationale. BMC </w:t>
      </w:r>
      <w:proofErr w:type="spellStart"/>
      <w:r w:rsidRPr="00F662FB">
        <w:rPr>
          <w:lang w:val="en-US"/>
        </w:rPr>
        <w:t>Musculoskelet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Disord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2010</w:t>
      </w:r>
      <w:proofErr w:type="gramEnd"/>
      <w:r w:rsidRPr="00F662FB">
        <w:rPr>
          <w:lang w:val="en-US"/>
        </w:rPr>
        <w:t>, 11, 81.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Lee, C.H.; </w:t>
      </w:r>
      <w:proofErr w:type="spellStart"/>
      <w:r w:rsidRPr="00F662FB">
        <w:rPr>
          <w:lang w:val="en-US"/>
        </w:rPr>
        <w:t>Heo</w:t>
      </w:r>
      <w:proofErr w:type="spellEnd"/>
      <w:r w:rsidRPr="00F662FB">
        <w:rPr>
          <w:lang w:val="en-US"/>
        </w:rPr>
        <w:t xml:space="preserve">, S.J.; Park, S.H.; </w:t>
      </w:r>
      <w:proofErr w:type="spellStart"/>
      <w:r w:rsidRPr="00F662FB">
        <w:rPr>
          <w:lang w:val="en-US"/>
        </w:rPr>
        <w:t>Jeong</w:t>
      </w:r>
      <w:proofErr w:type="spellEnd"/>
      <w:r w:rsidRPr="00F662FB">
        <w:rPr>
          <w:lang w:val="en-US"/>
        </w:rPr>
        <w:t xml:space="preserve">, H.S.; Kim, S.Y. The Functional and Morphological Changes of the Cervical Intervertebral Disc after Applying </w:t>
      </w:r>
      <w:proofErr w:type="spellStart"/>
      <w:r w:rsidRPr="00F662FB">
        <w:rPr>
          <w:lang w:val="en-US"/>
        </w:rPr>
        <w:t>Lordotic</w:t>
      </w:r>
      <w:proofErr w:type="spellEnd"/>
      <w:r w:rsidRPr="00F662FB">
        <w:rPr>
          <w:lang w:val="en-US"/>
        </w:rPr>
        <w:t xml:space="preserve"> Curve Controlled Traction: A </w:t>
      </w:r>
      <w:proofErr w:type="gramStart"/>
      <w:r w:rsidRPr="00F662FB">
        <w:rPr>
          <w:lang w:val="en-US"/>
        </w:rPr>
        <w:t>Double-Blind</w:t>
      </w:r>
      <w:proofErr w:type="gramEnd"/>
      <w:r w:rsidRPr="00F662FB">
        <w:rPr>
          <w:lang w:val="en-US"/>
        </w:rPr>
        <w:t xml:space="preserve"> Randomized Controlled Study. Int. J. Environ. Res. Public Health </w:t>
      </w:r>
      <w:r w:rsidRPr="00873D9F">
        <w:rPr>
          <w:b/>
          <w:lang w:val="en-US"/>
        </w:rPr>
        <w:t>2019</w:t>
      </w:r>
      <w:r w:rsidRPr="00F662FB">
        <w:rPr>
          <w:lang w:val="en-US"/>
        </w:rPr>
        <w:t>, 16, 2162.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Default="00F662FB" w:rsidP="00F662FB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F662FB">
        <w:rPr>
          <w:lang w:val="en-US"/>
        </w:rPr>
        <w:t>Suthar</w:t>
      </w:r>
      <w:proofErr w:type="spellEnd"/>
      <w:r w:rsidRPr="00F662FB">
        <w:rPr>
          <w:lang w:val="en-US"/>
        </w:rPr>
        <w:t xml:space="preserve">, P.; Patel, R.; Mehta, C.; Patel, N. MRI Evaluation of Lumbar Disc Degenerative Disease. J. </w:t>
      </w:r>
      <w:proofErr w:type="spellStart"/>
      <w:r w:rsidRPr="00F662FB">
        <w:rPr>
          <w:lang w:val="en-US"/>
        </w:rPr>
        <w:t>Clin</w:t>
      </w:r>
      <w:proofErr w:type="spellEnd"/>
      <w:r w:rsidRPr="00F662FB">
        <w:rPr>
          <w:lang w:val="en-US"/>
        </w:rPr>
        <w:t xml:space="preserve">. </w:t>
      </w:r>
      <w:proofErr w:type="spellStart"/>
      <w:r>
        <w:t>Diagn</w:t>
      </w:r>
      <w:proofErr w:type="spellEnd"/>
      <w:r>
        <w:t xml:space="preserve">. </w:t>
      </w:r>
      <w:proofErr w:type="spellStart"/>
      <w:r>
        <w:t>Res</w:t>
      </w:r>
      <w:proofErr w:type="spellEnd"/>
      <w:r>
        <w:t xml:space="preserve">. </w:t>
      </w:r>
      <w:r w:rsidRPr="00873D9F">
        <w:rPr>
          <w:b/>
        </w:rPr>
        <w:t>2015</w:t>
      </w:r>
      <w:r>
        <w:t>, 9, TC04-9. [</w:t>
      </w:r>
      <w:proofErr w:type="spellStart"/>
      <w:r w:rsidRPr="0082513E">
        <w:rPr>
          <w:color w:val="2E74B5" w:themeColor="accent5" w:themeShade="BF"/>
        </w:rPr>
        <w:t>CrossRef</w:t>
      </w:r>
      <w:proofErr w:type="spellEnd"/>
      <w: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Ainsworth, B.E.; Haskell, W.L.; Leon, A.S.; Jacobs, D.R.; </w:t>
      </w:r>
      <w:proofErr w:type="spellStart"/>
      <w:r w:rsidRPr="00F662FB">
        <w:rPr>
          <w:lang w:val="en-US"/>
        </w:rPr>
        <w:t>Montoye</w:t>
      </w:r>
      <w:proofErr w:type="spellEnd"/>
      <w:r w:rsidRPr="00F662FB">
        <w:rPr>
          <w:lang w:val="en-US"/>
        </w:rPr>
        <w:t xml:space="preserve">, H.J.; </w:t>
      </w:r>
      <w:proofErr w:type="spellStart"/>
      <w:r w:rsidRPr="00F662FB">
        <w:rPr>
          <w:lang w:val="en-US"/>
        </w:rPr>
        <w:t>Sallis</w:t>
      </w:r>
      <w:proofErr w:type="spellEnd"/>
      <w:r w:rsidRPr="00F662FB">
        <w:rPr>
          <w:lang w:val="en-US"/>
        </w:rPr>
        <w:t xml:space="preserve">, J.F.; </w:t>
      </w:r>
      <w:proofErr w:type="spellStart"/>
      <w:r w:rsidRPr="00F662FB">
        <w:rPr>
          <w:lang w:val="en-US"/>
        </w:rPr>
        <w:t>Paffenbarger</w:t>
      </w:r>
      <w:proofErr w:type="spellEnd"/>
      <w:r w:rsidRPr="00F662FB">
        <w:rPr>
          <w:lang w:val="en-US"/>
        </w:rPr>
        <w:t xml:space="preserve">, R.S. Compendium of Physical Activities: Classification of Energy Costs of Human Physical Activities. Med. </w:t>
      </w:r>
      <w:proofErr w:type="spellStart"/>
      <w:r w:rsidRPr="00F662FB">
        <w:rPr>
          <w:lang w:val="en-US"/>
        </w:rPr>
        <w:t>Sci</w:t>
      </w:r>
      <w:proofErr w:type="spellEnd"/>
      <w:r w:rsidRPr="00F662FB">
        <w:rPr>
          <w:lang w:val="en-US"/>
        </w:rPr>
        <w:t xml:space="preserve"> Sports </w:t>
      </w:r>
      <w:proofErr w:type="spellStart"/>
      <w:r w:rsidRPr="00F662FB">
        <w:rPr>
          <w:lang w:val="en-US"/>
        </w:rPr>
        <w:t>Exerc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1993</w:t>
      </w:r>
      <w:proofErr w:type="gramEnd"/>
      <w:r w:rsidRPr="00F662FB">
        <w:rPr>
          <w:lang w:val="en-US"/>
        </w:rPr>
        <w:t>, 25, 71–80.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Default="00F662FB" w:rsidP="00F662FB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F662FB">
        <w:rPr>
          <w:lang w:val="en-US"/>
        </w:rPr>
        <w:t>Chiarotto</w:t>
      </w:r>
      <w:proofErr w:type="spellEnd"/>
      <w:r w:rsidRPr="00F662FB">
        <w:rPr>
          <w:lang w:val="en-US"/>
        </w:rPr>
        <w:t xml:space="preserve">, A.; Maxwell, L.J.; </w:t>
      </w:r>
      <w:proofErr w:type="spellStart"/>
      <w:r w:rsidRPr="00F662FB">
        <w:rPr>
          <w:lang w:val="en-US"/>
        </w:rPr>
        <w:t>Terwee</w:t>
      </w:r>
      <w:proofErr w:type="spellEnd"/>
      <w:r w:rsidRPr="00F662FB">
        <w:rPr>
          <w:lang w:val="en-US"/>
        </w:rPr>
        <w:t xml:space="preserve">, C.B.; Wells, G.A.; </w:t>
      </w:r>
      <w:proofErr w:type="spellStart"/>
      <w:r w:rsidRPr="00F662FB">
        <w:rPr>
          <w:lang w:val="en-US"/>
        </w:rPr>
        <w:t>Tugwell</w:t>
      </w:r>
      <w:proofErr w:type="spellEnd"/>
      <w:r w:rsidRPr="00F662FB">
        <w:rPr>
          <w:lang w:val="en-US"/>
        </w:rPr>
        <w:t xml:space="preserve">, P.; </w:t>
      </w:r>
      <w:proofErr w:type="spellStart"/>
      <w:r w:rsidRPr="00F662FB">
        <w:rPr>
          <w:lang w:val="en-US"/>
        </w:rPr>
        <w:t>Ostelo</w:t>
      </w:r>
      <w:proofErr w:type="spellEnd"/>
      <w:r w:rsidRPr="00F662FB">
        <w:rPr>
          <w:lang w:val="en-US"/>
        </w:rPr>
        <w:t xml:space="preserve">, R.W. Roland-Morris Disability Questionnaire and </w:t>
      </w:r>
      <w:proofErr w:type="spellStart"/>
      <w:r w:rsidRPr="00F662FB">
        <w:rPr>
          <w:lang w:val="en-US"/>
        </w:rPr>
        <w:t>Oswestry</w:t>
      </w:r>
      <w:proofErr w:type="spellEnd"/>
      <w:r w:rsidRPr="00F662FB">
        <w:rPr>
          <w:lang w:val="en-US"/>
        </w:rPr>
        <w:t xml:space="preserve"> Disability Index: Which Has Better Measurement Properties for Measuring Physical Functioning in Nonspecific Low Back Pain? Systematic Review and Meta-Analysis. Phys. </w:t>
      </w:r>
      <w:proofErr w:type="spellStart"/>
      <w:r>
        <w:t>Ther</w:t>
      </w:r>
      <w:proofErr w:type="spellEnd"/>
      <w:r>
        <w:t xml:space="preserve">. </w:t>
      </w:r>
      <w:r w:rsidRPr="00873D9F">
        <w:rPr>
          <w:b/>
        </w:rPr>
        <w:t>2016</w:t>
      </w:r>
      <w:r>
        <w:t>, 96, 1620–1637. [</w:t>
      </w:r>
      <w:proofErr w:type="spellStart"/>
      <w:r w:rsidRPr="0082513E">
        <w:rPr>
          <w:color w:val="2E74B5" w:themeColor="accent5" w:themeShade="BF"/>
        </w:rPr>
        <w:t>CrossRef</w:t>
      </w:r>
      <w:proofErr w:type="spellEnd"/>
      <w: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Stratford, P.W.; Binkley, J.; Solomon, P.; Finch, E.; Gill, C.; Moreland, J. Defining the Minimum Level of Detectable Change for the Roland-Morris questionnaire. </w:t>
      </w:r>
      <w:proofErr w:type="spellStart"/>
      <w:r w:rsidRPr="00F662FB">
        <w:rPr>
          <w:lang w:val="en-US"/>
        </w:rPr>
        <w:t>Phys</w:t>
      </w:r>
      <w:proofErr w:type="spellEnd"/>
      <w:r w:rsidRPr="00F662FB">
        <w:rPr>
          <w:lang w:val="en-US"/>
        </w:rPr>
        <w:t xml:space="preserve"> </w:t>
      </w:r>
      <w:proofErr w:type="spellStart"/>
      <w:r w:rsidRPr="00F662FB">
        <w:rPr>
          <w:lang w:val="en-US"/>
        </w:rPr>
        <w:t>Ther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1996</w:t>
      </w:r>
      <w:proofErr w:type="gramEnd"/>
      <w:r w:rsidRPr="00F662FB">
        <w:rPr>
          <w:lang w:val="en-US"/>
        </w:rPr>
        <w:t>, 76, 359–365.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Lee, G.Y.; Lee, J.W.; </w:t>
      </w:r>
      <w:proofErr w:type="spellStart"/>
      <w:r w:rsidRPr="00F662FB">
        <w:rPr>
          <w:lang w:val="en-US"/>
        </w:rPr>
        <w:t>Choid</w:t>
      </w:r>
      <w:proofErr w:type="spellEnd"/>
      <w:r w:rsidRPr="00F662FB">
        <w:rPr>
          <w:lang w:val="en-US"/>
        </w:rPr>
        <w:t xml:space="preserve">, H.S.; Oh, K.J.; Kang, H.S. A New Grading System of Lumbar Central Canal Stenosis on MRI: An Easy and Reliable Method. </w:t>
      </w:r>
      <w:proofErr w:type="spellStart"/>
      <w:r w:rsidRPr="00F662FB">
        <w:rPr>
          <w:lang w:val="en-US"/>
        </w:rPr>
        <w:t>Skelet</w:t>
      </w:r>
      <w:proofErr w:type="spellEnd"/>
      <w:r w:rsidRPr="00F662FB">
        <w:rPr>
          <w:lang w:val="en-US"/>
        </w:rPr>
        <w:t xml:space="preserve">. </w:t>
      </w:r>
      <w:proofErr w:type="spellStart"/>
      <w:r w:rsidRPr="00F662FB">
        <w:rPr>
          <w:lang w:val="en-US"/>
        </w:rPr>
        <w:t>Radiol</w:t>
      </w:r>
      <w:proofErr w:type="spellEnd"/>
      <w:r w:rsidRPr="00F662FB">
        <w:rPr>
          <w:lang w:val="en-US"/>
        </w:rPr>
        <w:t xml:space="preserve">. </w:t>
      </w:r>
      <w:proofErr w:type="gramStart"/>
      <w:r w:rsidRPr="00F662FB">
        <w:rPr>
          <w:lang w:val="en-US"/>
        </w:rPr>
        <w:t>2011</w:t>
      </w:r>
      <w:proofErr w:type="gramEnd"/>
      <w:r w:rsidRPr="00F662FB">
        <w:rPr>
          <w:lang w:val="en-US"/>
        </w:rPr>
        <w:t>, 40, 1033–1039. [</w:t>
      </w:r>
      <w:proofErr w:type="spellStart"/>
      <w:r w:rsidRPr="00F662FB">
        <w:rPr>
          <w:lang w:val="en-US"/>
        </w:rPr>
        <w:t>CrossRef</w:t>
      </w:r>
      <w:proofErr w:type="spellEnd"/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Farina, D.; Arendt-Nielsen, L.; Graven-Nielsen, T. Experimental Muscle Pain Reduces Initial Motor Unit Discharge Rates during Sustained Submaximal Contractions. J. Appl. Physiol. </w:t>
      </w:r>
      <w:r w:rsidRPr="00873D9F">
        <w:rPr>
          <w:b/>
          <w:lang w:val="en-US"/>
        </w:rPr>
        <w:t>2005</w:t>
      </w:r>
      <w:r w:rsidRPr="00F662FB">
        <w:rPr>
          <w:lang w:val="en-US"/>
        </w:rPr>
        <w:t>, 98, 999–1005.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Beurskens</w:t>
      </w:r>
      <w:proofErr w:type="spellEnd"/>
      <w:r w:rsidRPr="00F662FB">
        <w:rPr>
          <w:lang w:val="en-US"/>
        </w:rPr>
        <w:t xml:space="preserve">, A.J.; </w:t>
      </w:r>
      <w:proofErr w:type="spellStart"/>
      <w:r w:rsidRPr="00F662FB">
        <w:rPr>
          <w:lang w:val="en-US"/>
        </w:rPr>
        <w:t>Henrica</w:t>
      </w:r>
      <w:proofErr w:type="spellEnd"/>
      <w:r w:rsidRPr="00F662FB">
        <w:rPr>
          <w:lang w:val="en-US"/>
        </w:rPr>
        <w:t xml:space="preserve">, C.; </w:t>
      </w:r>
      <w:proofErr w:type="spellStart"/>
      <w:r w:rsidRPr="00F662FB">
        <w:rPr>
          <w:lang w:val="en-US"/>
        </w:rPr>
        <w:t>Köke</w:t>
      </w:r>
      <w:proofErr w:type="spellEnd"/>
      <w:r w:rsidRPr="00F662FB">
        <w:rPr>
          <w:lang w:val="en-US"/>
        </w:rPr>
        <w:t xml:space="preserve">, A.J.; </w:t>
      </w:r>
      <w:proofErr w:type="spellStart"/>
      <w:r w:rsidRPr="00F662FB">
        <w:rPr>
          <w:lang w:val="en-US"/>
        </w:rPr>
        <w:t>Regtop</w:t>
      </w:r>
      <w:proofErr w:type="spellEnd"/>
      <w:r w:rsidRPr="00F662FB">
        <w:rPr>
          <w:lang w:val="en-US"/>
        </w:rPr>
        <w:t xml:space="preserve">, W.; van der </w:t>
      </w:r>
      <w:proofErr w:type="spellStart"/>
      <w:r w:rsidRPr="00F662FB">
        <w:rPr>
          <w:lang w:val="en-US"/>
        </w:rPr>
        <w:t>Heijden</w:t>
      </w:r>
      <w:proofErr w:type="spellEnd"/>
      <w:r w:rsidRPr="00F662FB">
        <w:rPr>
          <w:lang w:val="en-US"/>
        </w:rPr>
        <w:t xml:space="preserve">, G.J.; Lindeman, E.; </w:t>
      </w:r>
      <w:proofErr w:type="spellStart"/>
      <w:r w:rsidRPr="00F662FB">
        <w:rPr>
          <w:lang w:val="en-US"/>
        </w:rPr>
        <w:t>Knipschild</w:t>
      </w:r>
      <w:proofErr w:type="spellEnd"/>
      <w:r w:rsidRPr="00F662FB">
        <w:rPr>
          <w:lang w:val="en-US"/>
        </w:rPr>
        <w:t xml:space="preserve">, P.G. Efficacy of Traction for Nonspecific Low Back Pain: 12-Week and 6-Month Results of a Randomized Clinical Trial. Spine </w:t>
      </w:r>
      <w:r w:rsidRPr="00873D9F">
        <w:rPr>
          <w:b/>
          <w:lang w:val="en-US"/>
        </w:rPr>
        <w:t>1997</w:t>
      </w:r>
      <w:r w:rsidRPr="00F662FB">
        <w:rPr>
          <w:lang w:val="en-US"/>
        </w:rPr>
        <w:t>, 22, 2756–2762.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>]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Ozturk</w:t>
      </w:r>
      <w:proofErr w:type="spellEnd"/>
      <w:r w:rsidRPr="00F662FB">
        <w:rPr>
          <w:lang w:val="en-US"/>
        </w:rPr>
        <w:t xml:space="preserve">, B.; </w:t>
      </w:r>
      <w:proofErr w:type="spellStart"/>
      <w:r w:rsidRPr="00F662FB">
        <w:rPr>
          <w:lang w:val="en-US"/>
        </w:rPr>
        <w:t>Gunduz</w:t>
      </w:r>
      <w:proofErr w:type="spellEnd"/>
      <w:r w:rsidRPr="00F662FB">
        <w:rPr>
          <w:lang w:val="en-US"/>
        </w:rPr>
        <w:t xml:space="preserve">, O.H.; </w:t>
      </w:r>
      <w:proofErr w:type="spellStart"/>
      <w:r w:rsidRPr="00F662FB">
        <w:rPr>
          <w:lang w:val="en-US"/>
        </w:rPr>
        <w:t>Ozoran</w:t>
      </w:r>
      <w:proofErr w:type="spellEnd"/>
      <w:r w:rsidRPr="00F662FB">
        <w:rPr>
          <w:lang w:val="en-US"/>
        </w:rPr>
        <w:t xml:space="preserve">, K.; </w:t>
      </w:r>
      <w:proofErr w:type="spellStart"/>
      <w:r w:rsidRPr="00F662FB">
        <w:rPr>
          <w:lang w:val="en-US"/>
        </w:rPr>
        <w:t>Bostanoglu</w:t>
      </w:r>
      <w:proofErr w:type="spellEnd"/>
      <w:r w:rsidRPr="00F662FB">
        <w:rPr>
          <w:lang w:val="en-US"/>
        </w:rPr>
        <w:t xml:space="preserve">, S. Effect of Continuous Lumbar Traction on the Size of Herniated Disc Material in Lumbar Disc Herniation. </w:t>
      </w:r>
      <w:proofErr w:type="spellStart"/>
      <w:r w:rsidRPr="00F662FB">
        <w:rPr>
          <w:lang w:val="en-US"/>
        </w:rPr>
        <w:t>Rheumatol</w:t>
      </w:r>
      <w:proofErr w:type="spellEnd"/>
      <w:r w:rsidRPr="00F662FB">
        <w:rPr>
          <w:lang w:val="en-US"/>
        </w:rPr>
        <w:t xml:space="preserve">. Int. </w:t>
      </w:r>
      <w:r w:rsidRPr="00873D9F">
        <w:rPr>
          <w:b/>
          <w:lang w:val="en-US"/>
        </w:rPr>
        <w:t>2006</w:t>
      </w:r>
      <w:r w:rsidRPr="00F662FB">
        <w:rPr>
          <w:lang w:val="en-US"/>
        </w:rPr>
        <w:t>, 26, 622–626.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proofErr w:type="spellStart"/>
      <w:r w:rsidRPr="00F662FB">
        <w:rPr>
          <w:lang w:val="en-US"/>
        </w:rPr>
        <w:t>Schröder</w:t>
      </w:r>
      <w:proofErr w:type="spellEnd"/>
      <w:r w:rsidRPr="00F662FB">
        <w:rPr>
          <w:lang w:val="en-US"/>
        </w:rPr>
        <w:t xml:space="preserve">, G.; </w:t>
      </w:r>
      <w:proofErr w:type="spellStart"/>
      <w:r w:rsidRPr="00F662FB">
        <w:rPr>
          <w:lang w:val="en-US"/>
        </w:rPr>
        <w:t>Knauerhase</w:t>
      </w:r>
      <w:proofErr w:type="spellEnd"/>
      <w:r w:rsidRPr="00F662FB">
        <w:rPr>
          <w:lang w:val="en-US"/>
        </w:rPr>
        <w:t xml:space="preserve">, A.; </w:t>
      </w:r>
      <w:proofErr w:type="spellStart"/>
      <w:r w:rsidRPr="00F662FB">
        <w:rPr>
          <w:lang w:val="en-US"/>
        </w:rPr>
        <w:t>Willenberg</w:t>
      </w:r>
      <w:proofErr w:type="spellEnd"/>
      <w:r w:rsidRPr="00F662FB">
        <w:rPr>
          <w:lang w:val="en-US"/>
        </w:rPr>
        <w:t xml:space="preserve">, H.S.; </w:t>
      </w:r>
      <w:proofErr w:type="spellStart"/>
      <w:r w:rsidRPr="00F662FB">
        <w:rPr>
          <w:lang w:val="en-US"/>
        </w:rPr>
        <w:t>Kundt</w:t>
      </w:r>
      <w:proofErr w:type="spellEnd"/>
      <w:r w:rsidRPr="00F662FB">
        <w:rPr>
          <w:lang w:val="en-US"/>
        </w:rPr>
        <w:t xml:space="preserve">, G.; </w:t>
      </w:r>
      <w:proofErr w:type="spellStart"/>
      <w:r w:rsidRPr="00F662FB">
        <w:rPr>
          <w:lang w:val="en-US"/>
        </w:rPr>
        <w:t>Wendig</w:t>
      </w:r>
      <w:proofErr w:type="spellEnd"/>
      <w:r w:rsidRPr="00F662FB">
        <w:rPr>
          <w:lang w:val="en-US"/>
        </w:rPr>
        <w:t xml:space="preserve">, D.; </w:t>
      </w:r>
      <w:proofErr w:type="spellStart"/>
      <w:r w:rsidRPr="00F662FB">
        <w:rPr>
          <w:lang w:val="en-US"/>
        </w:rPr>
        <w:t>Schober</w:t>
      </w:r>
      <w:proofErr w:type="spellEnd"/>
      <w:r w:rsidRPr="00F662FB">
        <w:rPr>
          <w:lang w:val="en-US"/>
        </w:rPr>
        <w:t xml:space="preserve">, H.-C. Biomechanics of the Osteoporotic Spine, Pain, and Principles of Training. Arch. </w:t>
      </w:r>
      <w:proofErr w:type="spellStart"/>
      <w:r w:rsidRPr="00F662FB">
        <w:rPr>
          <w:lang w:val="en-US"/>
        </w:rPr>
        <w:t>Orthop</w:t>
      </w:r>
      <w:proofErr w:type="spellEnd"/>
      <w:r w:rsidRPr="00F662FB">
        <w:rPr>
          <w:lang w:val="en-US"/>
        </w:rPr>
        <w:t xml:space="preserve">. Trauma Surg. </w:t>
      </w:r>
      <w:r w:rsidRPr="00873D9F">
        <w:rPr>
          <w:b/>
          <w:lang w:val="en-US"/>
        </w:rPr>
        <w:t>2017</w:t>
      </w:r>
      <w:r w:rsidRPr="00F662FB">
        <w:rPr>
          <w:lang w:val="en-US"/>
        </w:rPr>
        <w:t>, 137, 617–624. [</w:t>
      </w:r>
      <w:proofErr w:type="spellStart"/>
      <w:r w:rsidRPr="0082513E">
        <w:rPr>
          <w:color w:val="2E74B5" w:themeColor="accent5" w:themeShade="BF"/>
          <w:lang w:val="en-US"/>
        </w:rPr>
        <w:t>CrossRef</w:t>
      </w:r>
      <w:proofErr w:type="spellEnd"/>
      <w:r w:rsidRPr="00F662FB">
        <w:rPr>
          <w:lang w:val="en-US"/>
        </w:rPr>
        <w:t>] [</w:t>
      </w:r>
      <w:r w:rsidRPr="0082513E">
        <w:rPr>
          <w:color w:val="2E74B5" w:themeColor="accent5" w:themeShade="BF"/>
          <w:lang w:val="en-US"/>
        </w:rPr>
        <w:t>PubMed</w:t>
      </w:r>
      <w:r w:rsidRPr="00F662FB">
        <w:rPr>
          <w:lang w:val="en-US"/>
        </w:rPr>
        <w:t xml:space="preserve">] </w:t>
      </w:r>
    </w:p>
    <w:p w:rsidR="00F662FB" w:rsidRPr="00F662FB" w:rsidRDefault="00F662FB" w:rsidP="00F662FB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 w:rsidRPr="00F662FB">
        <w:rPr>
          <w:lang w:val="en-US"/>
        </w:rPr>
        <w:t xml:space="preserve">Krause, M.; </w:t>
      </w:r>
      <w:proofErr w:type="spellStart"/>
      <w:r w:rsidRPr="00F662FB">
        <w:rPr>
          <w:lang w:val="en-US"/>
        </w:rPr>
        <w:t>Refshauge</w:t>
      </w:r>
      <w:proofErr w:type="spellEnd"/>
      <w:r w:rsidRPr="00F662FB">
        <w:rPr>
          <w:lang w:val="en-US"/>
        </w:rPr>
        <w:t xml:space="preserve">, K.M.; </w:t>
      </w:r>
      <w:proofErr w:type="spellStart"/>
      <w:r w:rsidRPr="00F662FB">
        <w:rPr>
          <w:lang w:val="en-US"/>
        </w:rPr>
        <w:t>Dessen</w:t>
      </w:r>
      <w:proofErr w:type="spellEnd"/>
      <w:r w:rsidRPr="00F662FB">
        <w:rPr>
          <w:lang w:val="en-US"/>
        </w:rPr>
        <w:t xml:space="preserve">, M.; Boland, R. Lumbar Spine Traction: Evaluation of Effects and Recommended Application for Treatment. Man. </w:t>
      </w:r>
      <w:proofErr w:type="spellStart"/>
      <w:r w:rsidRPr="00F662FB">
        <w:rPr>
          <w:lang w:val="en-US"/>
        </w:rPr>
        <w:t>Ther</w:t>
      </w:r>
      <w:proofErr w:type="spellEnd"/>
      <w:r w:rsidRPr="00F662FB">
        <w:rPr>
          <w:lang w:val="en-US"/>
        </w:rPr>
        <w:t xml:space="preserve">. </w:t>
      </w:r>
      <w:proofErr w:type="gramStart"/>
      <w:r w:rsidRPr="00873D9F">
        <w:rPr>
          <w:b/>
          <w:lang w:val="en-US"/>
        </w:rPr>
        <w:t>2000</w:t>
      </w:r>
      <w:proofErr w:type="gramEnd"/>
      <w:r w:rsidRPr="00F662FB">
        <w:rPr>
          <w:lang w:val="en-US"/>
        </w:rPr>
        <w:t xml:space="preserve">, 5, 72–81. </w:t>
      </w:r>
      <w:r>
        <w:t>[</w:t>
      </w:r>
      <w:proofErr w:type="spellStart"/>
      <w:r w:rsidRPr="0082513E">
        <w:rPr>
          <w:color w:val="2E74B5" w:themeColor="accent5" w:themeShade="BF"/>
        </w:rPr>
        <w:t>CrossRef</w:t>
      </w:r>
      <w:proofErr w:type="spellEnd"/>
      <w:r>
        <w:t xml:space="preserve">] </w:t>
      </w:r>
      <w:bookmarkStart w:id="0" w:name="_GoBack"/>
      <w:r>
        <w:t>[</w:t>
      </w:r>
      <w:bookmarkEnd w:id="0"/>
      <w:proofErr w:type="spellStart"/>
      <w:r w:rsidRPr="0082513E">
        <w:rPr>
          <w:color w:val="2E74B5" w:themeColor="accent5" w:themeShade="BF"/>
        </w:rPr>
        <w:t>PubMed</w:t>
      </w:r>
      <w:proofErr w:type="spellEnd"/>
      <w:r>
        <w:t>]</w:t>
      </w:r>
    </w:p>
    <w:sectPr w:rsidR="00F662FB" w:rsidRPr="00F662FB" w:rsidSect="003062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361"/>
    <w:multiLevelType w:val="hybridMultilevel"/>
    <w:tmpl w:val="C5A8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A1C"/>
    <w:multiLevelType w:val="hybridMultilevel"/>
    <w:tmpl w:val="55C6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DB"/>
    <w:rsid w:val="000078D7"/>
    <w:rsid w:val="00011889"/>
    <w:rsid w:val="00084012"/>
    <w:rsid w:val="0008664B"/>
    <w:rsid w:val="00097AFA"/>
    <w:rsid w:val="000E13A2"/>
    <w:rsid w:val="001024D8"/>
    <w:rsid w:val="001577A1"/>
    <w:rsid w:val="00162F17"/>
    <w:rsid w:val="001813AA"/>
    <w:rsid w:val="001834BF"/>
    <w:rsid w:val="00190B33"/>
    <w:rsid w:val="001D0345"/>
    <w:rsid w:val="00213579"/>
    <w:rsid w:val="0024753B"/>
    <w:rsid w:val="00254F01"/>
    <w:rsid w:val="00257FA8"/>
    <w:rsid w:val="002665F9"/>
    <w:rsid w:val="0027584F"/>
    <w:rsid w:val="002A25F5"/>
    <w:rsid w:val="002C4F1E"/>
    <w:rsid w:val="002C51E7"/>
    <w:rsid w:val="00306267"/>
    <w:rsid w:val="003536C2"/>
    <w:rsid w:val="00377108"/>
    <w:rsid w:val="003969DB"/>
    <w:rsid w:val="003B3C82"/>
    <w:rsid w:val="00434B4B"/>
    <w:rsid w:val="00442964"/>
    <w:rsid w:val="004568FA"/>
    <w:rsid w:val="00496E6B"/>
    <w:rsid w:val="004E55E8"/>
    <w:rsid w:val="004F1755"/>
    <w:rsid w:val="00580792"/>
    <w:rsid w:val="00594D00"/>
    <w:rsid w:val="005E26F8"/>
    <w:rsid w:val="00601243"/>
    <w:rsid w:val="00647BBF"/>
    <w:rsid w:val="006743EF"/>
    <w:rsid w:val="0068724E"/>
    <w:rsid w:val="006E484E"/>
    <w:rsid w:val="00704DB6"/>
    <w:rsid w:val="007411B8"/>
    <w:rsid w:val="00755A9C"/>
    <w:rsid w:val="0079380D"/>
    <w:rsid w:val="007B6C82"/>
    <w:rsid w:val="007D4F05"/>
    <w:rsid w:val="007D65EF"/>
    <w:rsid w:val="0082513E"/>
    <w:rsid w:val="00862B18"/>
    <w:rsid w:val="00873D9F"/>
    <w:rsid w:val="009367E1"/>
    <w:rsid w:val="00943CF8"/>
    <w:rsid w:val="00955442"/>
    <w:rsid w:val="00967FBA"/>
    <w:rsid w:val="009C7F08"/>
    <w:rsid w:val="009D307B"/>
    <w:rsid w:val="009F1F10"/>
    <w:rsid w:val="009F6508"/>
    <w:rsid w:val="00A15FC7"/>
    <w:rsid w:val="00A375B7"/>
    <w:rsid w:val="00A37BC9"/>
    <w:rsid w:val="00A57988"/>
    <w:rsid w:val="00A71944"/>
    <w:rsid w:val="00A94FEC"/>
    <w:rsid w:val="00AB410C"/>
    <w:rsid w:val="00AF223B"/>
    <w:rsid w:val="00B67324"/>
    <w:rsid w:val="00B82ADD"/>
    <w:rsid w:val="00C13F49"/>
    <w:rsid w:val="00C55BC6"/>
    <w:rsid w:val="00C67DE9"/>
    <w:rsid w:val="00CB092F"/>
    <w:rsid w:val="00CC4047"/>
    <w:rsid w:val="00E17978"/>
    <w:rsid w:val="00E50B3B"/>
    <w:rsid w:val="00E5518A"/>
    <w:rsid w:val="00E65C10"/>
    <w:rsid w:val="00E745EE"/>
    <w:rsid w:val="00E9710A"/>
    <w:rsid w:val="00EA7462"/>
    <w:rsid w:val="00F10051"/>
    <w:rsid w:val="00F41B8E"/>
    <w:rsid w:val="00F65D96"/>
    <w:rsid w:val="00F662FB"/>
    <w:rsid w:val="00F85159"/>
    <w:rsid w:val="00FA1E2B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9FB"/>
  <w15:chartTrackingRefBased/>
  <w15:docId w15:val="{9B36AD0D-C04E-454B-A858-037F122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Anna Kleyn</cp:lastModifiedBy>
  <cp:revision>87</cp:revision>
  <dcterms:created xsi:type="dcterms:W3CDTF">2020-11-09T19:33:00Z</dcterms:created>
  <dcterms:modified xsi:type="dcterms:W3CDTF">2020-11-12T19:49:00Z</dcterms:modified>
</cp:coreProperties>
</file>